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55880</wp:posOffset>
            </wp:positionV>
            <wp:extent cx="20142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101600</wp:posOffset>
            </wp:positionV>
            <wp:extent cx="20142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33"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7" w:lineRule="exact"/>
        <w:rPr>
          <w:sz w:val="24"/>
          <w:szCs w:val="24"/>
          <w:color w:val="auto"/>
        </w:rPr>
      </w:pPr>
    </w:p>
    <w:tbl>
      <w:tblPr>
        <w:tblLayout w:type="fixed"/>
        <w:tblInd w:w="34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291"/>
        </w:trPr>
        <w:tc>
          <w:tcPr>
            <w:tcW w:w="350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Commission file number 1-8729</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111125</wp:posOffset>
            </wp:positionV>
            <wp:extent cx="20142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UNISYS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86995</wp:posOffset>
            </wp:positionV>
            <wp:extent cx="20142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70" w:lineRule="exact"/>
        <w:rPr>
          <w:sz w:val="24"/>
          <w:szCs w:val="24"/>
          <w:color w:val="auto"/>
        </w:rPr>
      </w:pPr>
    </w:p>
    <w:tbl>
      <w:tblPr>
        <w:tblLayout w:type="fixed"/>
        <w:tblInd w:w="1920" w:type="dxa"/>
        <w:tblCellMar>
          <w:top w:w="0" w:type="dxa"/>
          <w:left w:w="0" w:type="dxa"/>
          <w:bottom w:w="0" w:type="dxa"/>
          <w:right w:w="0" w:type="dxa"/>
        </w:tblCellMar>
      </w:tblPr>
      <w:tr>
        <w:trPr>
          <w:trHeight w:val="229"/>
        </w:trPr>
        <w:tc>
          <w:tcPr>
            <w:tcW w:w="3900" w:type="dxa"/>
            <w:vAlign w:val="bottom"/>
          </w:tcPr>
          <w:p>
            <w:pPr>
              <w:jc w:val="center"/>
              <w:ind w:right="2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center"/>
              <w:ind w:left="2122"/>
              <w:spacing w:after="0"/>
              <w:rPr>
                <w:sz w:val="20"/>
                <w:szCs w:val="20"/>
                <w:color w:val="auto"/>
              </w:rPr>
            </w:pPr>
            <w:r>
              <w:rPr>
                <w:rFonts w:ascii="Times New Roman" w:cs="Times New Roman" w:eastAsia="Times New Roman" w:hAnsi="Times New Roman"/>
                <w:sz w:val="18"/>
                <w:szCs w:val="18"/>
                <w:b w:val="1"/>
                <w:bCs w:val="1"/>
                <w:color w:val="auto"/>
                <w:w w:val="98"/>
              </w:rPr>
              <w:t>38-0387840</w:t>
            </w:r>
          </w:p>
        </w:tc>
      </w:tr>
      <w:tr>
        <w:trPr>
          <w:trHeight w:val="148"/>
        </w:trPr>
        <w:tc>
          <w:tcPr>
            <w:tcW w:w="3900" w:type="dxa"/>
            <w:vAlign w:val="bottom"/>
          </w:tcPr>
          <w:p>
            <w:pPr>
              <w:jc w:val="center"/>
              <w:ind w:right="2102"/>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260" w:type="dxa"/>
            <w:vAlign w:val="bottom"/>
          </w:tcPr>
          <w:p>
            <w:pPr>
              <w:jc w:val="center"/>
              <w:ind w:left="2122"/>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900" w:type="dxa"/>
            <w:vAlign w:val="bottom"/>
          </w:tcPr>
          <w:p>
            <w:pPr>
              <w:jc w:val="center"/>
              <w:ind w:right="210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260" w:type="dxa"/>
            <w:vAlign w:val="bottom"/>
          </w:tcPr>
          <w:p>
            <w:pPr>
              <w:jc w:val="center"/>
              <w:ind w:left="2122"/>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801 Lakeview Drive,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 Bell, Pennsylvania 19422</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(215) 986-4011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zip code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116205</wp:posOffset>
            </wp:positionV>
            <wp:extent cx="20142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30" w:type="dxa"/>
        <w:tblCellMar>
          <w:top w:w="0" w:type="dxa"/>
          <w:left w:w="0" w:type="dxa"/>
          <w:bottom w:w="0" w:type="dxa"/>
          <w:right w:w="0" w:type="dxa"/>
        </w:tblCellMar>
      </w:tblPr>
      <w:tr>
        <w:trPr>
          <w:trHeight w:val="189"/>
        </w:trPr>
        <w:tc>
          <w:tcPr>
            <w:tcW w:w="3140" w:type="dxa"/>
            <w:vAlign w:val="bottom"/>
            <w:tcBorders>
              <w:top w:val="single" w:sz="8" w:color="auto"/>
              <w:left w:val="single" w:sz="8" w:color="auto"/>
              <w:right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Trading</w:t>
            </w:r>
          </w:p>
        </w:tc>
        <w:tc>
          <w:tcPr>
            <w:tcW w:w="6820" w:type="dxa"/>
            <w:vAlign w:val="bottom"/>
            <w:tcBorders>
              <w:top w:val="single" w:sz="8" w:color="auto"/>
              <w:right w:val="single" w:sz="8" w:color="auto"/>
            </w:tcBorders>
          </w:tcPr>
          <w:p>
            <w:pPr>
              <w:spacing w:after="0"/>
              <w:rPr>
                <w:sz w:val="16"/>
                <w:szCs w:val="16"/>
                <w:color w:val="auto"/>
              </w:rPr>
            </w:pPr>
          </w:p>
        </w:tc>
      </w:tr>
      <w:tr>
        <w:trPr>
          <w:trHeight w:val="243"/>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6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UIS</w:t>
            </w:r>
          </w:p>
        </w:tc>
        <w:tc>
          <w:tcPr>
            <w:tcW w:w="6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1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100" w:firstLine="44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60"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60" w:right="1320" w:hanging="39"/>
        <w:spacing w:after="0" w:line="260"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 xml:space="preserve"> </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Number of shares of Unisys Common Stock, par value $.01, outstanding as of September 30, 2022: 67,787,549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UNISYS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260" w:type="dxa"/>
            <w:vAlign w:val="bottom"/>
            <w:gridSpan w:val="6"/>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960" w:type="dxa"/>
            <w:vAlign w:val="bottom"/>
            <w:gridSpan w:val="2"/>
            <w:vMerge w:val="continue"/>
          </w:tcPr>
          <w:p>
            <w:pPr>
              <w:spacing w:after="0"/>
              <w:rPr>
                <w:sz w:val="20"/>
                <w:szCs w:val="20"/>
                <w:color w:val="auto"/>
              </w:rPr>
            </w:pPr>
          </w:p>
        </w:tc>
        <w:tc>
          <w:tcPr>
            <w:tcW w:w="2260" w:type="dxa"/>
            <w:vAlign w:val="bottom"/>
            <w:gridSpan w:val="6"/>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17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9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Statements of Income (Loss)</w:t>
            </w:r>
          </w:p>
        </w:tc>
        <w:tc>
          <w:tcPr>
            <w:tcW w:w="1880" w:type="dxa"/>
            <w:vAlign w:val="bottom"/>
            <w:gridSpan w:val="4"/>
          </w:tcPr>
          <w:p>
            <w:pPr>
              <w:jc w:val="center"/>
              <w:ind w:left="161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 (Loss)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9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880" w:type="dxa"/>
            <w:vAlign w:val="bottom"/>
            <w:gridSpan w:val="4"/>
          </w:tcPr>
          <w:p>
            <w:pPr>
              <w:jc w:val="center"/>
              <w:ind w:left="161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9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Statements of Deficit</w:t>
            </w:r>
          </w:p>
        </w:tc>
        <w:tc>
          <w:tcPr>
            <w:tcW w:w="1880" w:type="dxa"/>
            <w:vAlign w:val="bottom"/>
            <w:gridSpan w:val="4"/>
          </w:tcPr>
          <w:p>
            <w:pPr>
              <w:jc w:val="center"/>
              <w:ind w:left="161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7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240" w:type="dxa"/>
            <w:vAlign w:val="bottom"/>
            <w:gridSpan w:val="5"/>
          </w:tcPr>
          <w:p>
            <w:pPr>
              <w:jc w:val="center"/>
              <w:ind w:left="1250"/>
              <w:spacing w:after="0" w:line="189" w:lineRule="exact"/>
              <w:rPr>
                <w:sz w:val="20"/>
                <w:szCs w:val="20"/>
                <w:color w:val="auto"/>
              </w:rPr>
            </w:pPr>
            <w:r>
              <w:rPr>
                <w:rFonts w:ascii="Times New Roman" w:cs="Times New Roman" w:eastAsia="Times New Roman" w:hAnsi="Times New Roman"/>
                <w:sz w:val="18"/>
                <w:szCs w:val="18"/>
                <w:color w:val="0000FF"/>
                <w:w w:val="99"/>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3.</w:t>
            </w:r>
          </w:p>
        </w:tc>
        <w:tc>
          <w:tcPr>
            <w:tcW w:w="7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240" w:type="dxa"/>
            <w:vAlign w:val="bottom"/>
            <w:gridSpan w:val="5"/>
            <w:shd w:val="clear" w:color="auto" w:fill="CCEEFF"/>
          </w:tcPr>
          <w:p>
            <w:pPr>
              <w:jc w:val="center"/>
              <w:ind w:left="1250"/>
              <w:spacing w:after="0" w:line="189" w:lineRule="exact"/>
              <w:rPr>
                <w:sz w:val="20"/>
                <w:szCs w:val="20"/>
                <w:color w:val="auto"/>
              </w:rPr>
            </w:pPr>
            <w:r>
              <w:rPr>
                <w:rFonts w:ascii="Times New Roman" w:cs="Times New Roman" w:eastAsia="Times New Roman" w:hAnsi="Times New Roman"/>
                <w:sz w:val="18"/>
                <w:szCs w:val="18"/>
                <w:color w:val="0000FF"/>
                <w:w w:val="99"/>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9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7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2240" w:type="dxa"/>
            <w:vAlign w:val="bottom"/>
            <w:gridSpan w:val="5"/>
          </w:tcPr>
          <w:p>
            <w:pPr>
              <w:jc w:val="center"/>
              <w:ind w:left="1250"/>
              <w:spacing w:after="0" w:line="189" w:lineRule="exact"/>
              <w:rPr>
                <w:sz w:val="20"/>
                <w:szCs w:val="20"/>
                <w:color w:val="auto"/>
              </w:rPr>
            </w:pPr>
            <w:r>
              <w:rPr>
                <w:rFonts w:ascii="Times New Roman" w:cs="Times New Roman" w:eastAsia="Times New Roman" w:hAnsi="Times New Roman"/>
                <w:sz w:val="18"/>
                <w:szCs w:val="18"/>
                <w:color w:val="0000FF"/>
                <w:w w:val="99"/>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7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Item 1.</w:t>
            </w:r>
          </w:p>
        </w:tc>
        <w:tc>
          <w:tcPr>
            <w:tcW w:w="79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Legal Proceedings</w:t>
            </w:r>
          </w:p>
        </w:tc>
        <w:tc>
          <w:tcPr>
            <w:tcW w:w="2240" w:type="dxa"/>
            <w:vAlign w:val="bottom"/>
            <w:gridSpan w:val="5"/>
          </w:tcPr>
          <w:p>
            <w:pPr>
              <w:jc w:val="center"/>
              <w:ind w:left="1250"/>
              <w:spacing w:after="0" w:line="182" w:lineRule="exact"/>
              <w:rPr>
                <w:sz w:val="20"/>
                <w:szCs w:val="20"/>
                <w:color w:val="auto"/>
              </w:rPr>
            </w:pPr>
            <w:r>
              <w:rPr>
                <w:rFonts w:ascii="Times New Roman" w:cs="Times New Roman" w:eastAsia="Times New Roman" w:hAnsi="Times New Roman"/>
                <w:sz w:val="18"/>
                <w:szCs w:val="18"/>
                <w:color w:val="0000FF"/>
                <w:w w:val="99"/>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1A.</w:t>
            </w:r>
          </w:p>
        </w:tc>
        <w:tc>
          <w:tcPr>
            <w:tcW w:w="7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2240" w:type="dxa"/>
            <w:vAlign w:val="bottom"/>
            <w:gridSpan w:val="5"/>
            <w:shd w:val="clear" w:color="auto" w:fill="CCEEFF"/>
          </w:tcPr>
          <w:p>
            <w:pPr>
              <w:jc w:val="center"/>
              <w:ind w:left="1250"/>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9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6.</w:t>
            </w:r>
          </w:p>
        </w:tc>
        <w:tc>
          <w:tcPr>
            <w:tcW w:w="7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2240" w:type="dxa"/>
            <w:vAlign w:val="bottom"/>
            <w:gridSpan w:val="5"/>
          </w:tcPr>
          <w:p>
            <w:pPr>
              <w:jc w:val="center"/>
              <w:ind w:left="1250"/>
              <w:spacing w:after="0" w:line="189" w:lineRule="exact"/>
              <w:rPr>
                <w:sz w:val="20"/>
                <w:szCs w:val="20"/>
                <w:color w:val="auto"/>
              </w:rPr>
            </w:pPr>
            <w:r>
              <w:rPr>
                <w:rFonts w:ascii="Times New Roman" w:cs="Times New Roman" w:eastAsia="Times New Roman" w:hAnsi="Times New Roman"/>
                <w:sz w:val="18"/>
                <w:szCs w:val="18"/>
                <w:color w:val="0000FF"/>
                <w:w w:val="99"/>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79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Exhibit Index</w:t>
            </w:r>
          </w:p>
        </w:tc>
        <w:tc>
          <w:tcPr>
            <w:tcW w:w="7940" w:type="dxa"/>
            <w:vAlign w:val="bottom"/>
          </w:tcPr>
          <w:p>
            <w:pPr>
              <w:spacing w:after="0"/>
              <w:rPr>
                <w:sz w:val="16"/>
                <w:szCs w:val="16"/>
                <w:color w:val="auto"/>
              </w:rPr>
            </w:pPr>
          </w:p>
        </w:tc>
        <w:tc>
          <w:tcPr>
            <w:tcW w:w="2240" w:type="dxa"/>
            <w:vAlign w:val="bottom"/>
            <w:gridSpan w:val="5"/>
          </w:tcPr>
          <w:p>
            <w:pPr>
              <w:jc w:val="center"/>
              <w:ind w:left="1250"/>
              <w:spacing w:after="0" w:line="189" w:lineRule="exact"/>
              <w:rPr>
                <w:sz w:val="20"/>
                <w:szCs w:val="20"/>
                <w:color w:val="auto"/>
              </w:rPr>
            </w:pPr>
            <w:r>
              <w:rPr>
                <w:rFonts w:ascii="Times New Roman" w:cs="Times New Roman" w:eastAsia="Times New Roman" w:hAnsi="Times New Roman"/>
                <w:sz w:val="18"/>
                <w:szCs w:val="18"/>
                <w:color w:val="0000FF"/>
                <w:w w:val="99"/>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Signatures</w:t>
            </w:r>
          </w:p>
        </w:tc>
        <w:tc>
          <w:tcPr>
            <w:tcW w:w="7940" w:type="dxa"/>
            <w:vAlign w:val="bottom"/>
            <w:shd w:val="clear" w:color="auto" w:fill="CCEEFF"/>
          </w:tcPr>
          <w:p>
            <w:pPr>
              <w:spacing w:after="0"/>
              <w:rPr>
                <w:sz w:val="18"/>
                <w:szCs w:val="18"/>
                <w:color w:val="auto"/>
              </w:rPr>
            </w:pPr>
          </w:p>
        </w:tc>
        <w:tc>
          <w:tcPr>
            <w:tcW w:w="2240" w:type="dxa"/>
            <w:vAlign w:val="bottom"/>
            <w:gridSpan w:val="5"/>
            <w:shd w:val="clear" w:color="auto" w:fill="CCEEFF"/>
          </w:tcPr>
          <w:p>
            <w:pPr>
              <w:jc w:val="center"/>
              <w:ind w:left="1250"/>
              <w:spacing w:after="0" w:line="189" w:lineRule="exact"/>
              <w:rPr>
                <w:sz w:val="20"/>
                <w:szCs w:val="20"/>
                <w:color w:val="auto"/>
              </w:rPr>
            </w:pPr>
            <w:r>
              <w:rPr>
                <w:rFonts w:ascii="Times New Roman" w:cs="Times New Roman" w:eastAsia="Times New Roman" w:hAnsi="Times New Roman"/>
                <w:sz w:val="18"/>
                <w:szCs w:val="18"/>
                <w:color w:val="0000FF"/>
                <w:w w:val="99"/>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0"/>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CCEEFF"/>
              <w:bottom w:val="single" w:sz="8" w:color="9A9A9A"/>
            </w:tcBorders>
          </w:tcPr>
          <w:p>
            <w:pPr>
              <w:spacing w:after="0"/>
              <w:rPr>
                <w:sz w:val="24"/>
                <w:szCs w:val="24"/>
                <w:color w:val="auto"/>
              </w:rPr>
            </w:pPr>
          </w:p>
        </w:tc>
        <w:tc>
          <w:tcPr>
            <w:tcW w:w="7940" w:type="dxa"/>
            <w:vAlign w:val="bottom"/>
            <w:tcBorders>
              <w:top w:val="single" w:sz="8" w:color="CCEEFF"/>
              <w:bottom w:val="single" w:sz="8" w:color="9A9A9A"/>
            </w:tcBorders>
          </w:tcPr>
          <w:p>
            <w:pPr>
              <w:spacing w:after="0"/>
              <w:rPr>
                <w:sz w:val="24"/>
                <w:szCs w:val="24"/>
                <w:color w:val="auto"/>
              </w:rPr>
            </w:pPr>
          </w:p>
        </w:tc>
        <w:tc>
          <w:tcPr>
            <w:tcW w:w="17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t>Part I - FINANCIAL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 Financial Statements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UNISYS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INCOME (LOSS) (Unaudited)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(Millions, except per share data)</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7"/>
                <w:szCs w:val="17"/>
                <w:color w:val="auto"/>
              </w:rPr>
            </w:pPr>
          </w:p>
        </w:tc>
        <w:tc>
          <w:tcPr>
            <w:tcW w:w="18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18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69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23"/>
        </w:trPr>
        <w:tc>
          <w:tcPr>
            <w:tcW w:w="6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w:t>
            </w:r>
          </w:p>
        </w:tc>
      </w:tr>
      <w:tr>
        <w:trPr>
          <w:trHeight w:val="229"/>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3"/>
        </w:trPr>
        <w:tc>
          <w:tcPr>
            <w:tcW w:w="6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69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1,405.6</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96"/>
        </w:trPr>
        <w:tc>
          <w:tcPr>
            <w:tcW w:w="6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attributable to Unisys Corporation</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(317.3)</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6"/>
        </w:trPr>
        <w:tc>
          <w:tcPr>
            <w:tcW w:w="6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Loss per share attributable to Unisys Corporation</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9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(4.79)</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9"/>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UNISYS CORPORATION</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 (LOSS) (Unaudited)</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(Millions)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7"/>
                <w:szCs w:val="17"/>
                <w:color w:val="auto"/>
              </w:rPr>
            </w:pPr>
          </w:p>
        </w:tc>
        <w:tc>
          <w:tcPr>
            <w:tcW w:w="18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6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18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65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r>
      <w:tr>
        <w:trPr>
          <w:trHeight w:val="20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184"/>
        </w:trPr>
        <w:tc>
          <w:tcPr>
            <w:tcW w:w="65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Postretirement adjustments, net of tax of $14.4 and $35.2 in 2022 and $7.4 and $45.2</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4"/>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 2021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Unisys Corporation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1"/>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07" w:right="69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UNISYS CORPORATION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CONSOLIDATED BALANCE SHEETS (Unaudited)</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(Millions)</w:t>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r>
      <w:tr>
        <w:trPr>
          <w:trHeight w:val="229"/>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Less-accumulated depreciation and amortization</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Properties, net</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Outsourcing assets,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software, net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postretirement assets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held-for-sale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2,419.5</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deficit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30"/>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postretirement liabilities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15)</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Deficit: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shares issued: 2022; 73.3, 2021; 72.5</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(1,409.0)</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shares at cost: 2022; 5.5, 2021; 5.3</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Paid-in capital</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4,710.9</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(3,264.1)</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Unisys Corporation stockholders’ deficit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deficit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20" w:right="220" w:hanging="412"/>
        <w:spacing w:after="0" w:line="285" w:lineRule="auto"/>
        <w:tabs>
          <w:tab w:leader="none" w:pos="41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consolidated financial statements reflect a change of $15.2 million to increase both assets and liabilities, as compared to the previously filed consolidated financial statements on November 7, 2022.</w:t>
      </w:r>
    </w:p>
    <w:p>
      <w:pPr>
        <w:sectPr>
          <w:pgSz w:w="11900" w:h="16838" w:orient="portrait"/>
          <w:cols w:equalWidth="0" w:num="1">
            <w:col w:w="11180"/>
          </w:cols>
          <w:pgMar w:left="320" w:top="932" w:right="399" w:bottom="1440" w:gutter="0" w:footer="0" w:header="0"/>
        </w:sectPr>
      </w:pPr>
    </w:p>
    <w:p>
      <w:pPr>
        <w:spacing w:after="0"/>
        <w:tabs>
          <w:tab w:leader="none" w:pos="5560" w:val="left"/>
        </w:tabs>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r>
        <w:rPr>
          <w:sz w:val="20"/>
          <w:szCs w:val="20"/>
          <w:color w:val="auto"/>
        </w:rPr>
        <w:tab/>
      </w: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2" w:right="39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UNISYS CORPORATION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(Unaudited)</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(Millions)</w:t>
      </w:r>
    </w:p>
    <w:p>
      <w:pPr>
        <w:spacing w:after="0" w:line="154"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color w:val="auto"/>
        </w:rPr>
        <w:t>Nine Months Ended</w:t>
      </w:r>
    </w:p>
    <w:p>
      <w:pPr>
        <w:jc w:val="center"/>
        <w:ind w:left="8980"/>
        <w:spacing w:after="0"/>
        <w:rPr>
          <w:sz w:val="20"/>
          <w:szCs w:val="20"/>
          <w:color w:val="auto"/>
        </w:rPr>
      </w:pPr>
      <w:r>
        <w:rPr>
          <w:rFonts w:ascii="Times New Roman" w:cs="Times New Roman" w:eastAsia="Times New Roman" w:hAnsi="Times New Roman"/>
          <w:sz w:val="18"/>
          <w:szCs w:val="18"/>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consolidated net loss to net cash (used for) provided by operating activities: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losses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properties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outsourcing assets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9"/>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marketable software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operating activities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disposal of capital assets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Postretirement contributions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Postretirement expense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29"/>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0"/>
        </w:trPr>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effect of acquisitions: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9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Receivables, net and contract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30"/>
        </w:trPr>
        <w:tc>
          <w:tcPr>
            <w:tcW w:w="9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9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9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and current liabilities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30"/>
        </w:trPr>
        <w:tc>
          <w:tcPr>
            <w:tcW w:w="9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 operating activities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1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businesses, net of cash acquired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30"/>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investments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3,286.4</w:t>
            </w:r>
          </w:p>
        </w:tc>
      </w:tr>
      <w:tr>
        <w:trPr>
          <w:trHeight w:val="229"/>
        </w:trPr>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(3,294.6)</w:t>
            </w:r>
          </w:p>
        </w:tc>
      </w:tr>
      <w:tr>
        <w:trPr>
          <w:trHeight w:val="230"/>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marketable software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30"/>
        </w:trPr>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additions of properties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additions of outsourcing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9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0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0"/>
        </w:trPr>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9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23"/>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r>
      <w:tr>
        <w:trPr>
          <w:trHeight w:val="229"/>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6"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UNISYS CORPORATION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CONSOLIDATED STATEMENTS OF DEFICIT (Unaudited)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7"/>
          </w:tcPr>
          <w:p>
            <w:pPr>
              <w:ind w:left="140"/>
              <w:spacing w:after="0"/>
              <w:rPr>
                <w:sz w:val="20"/>
                <w:szCs w:val="20"/>
                <w:color w:val="auto"/>
              </w:rPr>
            </w:pPr>
            <w:r>
              <w:rPr>
                <w:rFonts w:ascii="Times New Roman" w:cs="Times New Roman" w:eastAsia="Times New Roman" w:hAnsi="Times New Roman"/>
                <w:sz w:val="14"/>
                <w:szCs w:val="14"/>
                <w:color w:val="auto"/>
              </w:rPr>
              <w:t>Unisys Corporation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Common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Treasury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color w:val="auto"/>
              </w:rPr>
              <w:t>Accumu-</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7"/>
              </w:rPr>
              <w:t>Non-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Total Unisys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Accumu-</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Paid-in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lated 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w w:val="99"/>
              </w:rPr>
              <w:t>Stock Par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color w:val="auto"/>
              </w:rPr>
              <w:t>Stock At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Compre-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controlling</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4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Corporation</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Value</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lated Deficit</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Cost</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hensive Loss</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(1,409.0)</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4,710.9</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(3,264.1)</w:t>
            </w: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net (loss) income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activity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Postretirement plans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(1,466.3)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4,716.6</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(3,223.3)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net income (loss)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Stock-based activity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Postretirement plans</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4,721.9</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Consolidated net (loss) income</w:t>
            </w: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34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activity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Translation adjustments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Postretirement plans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4,726.8</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(3,232.2)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4"/>
        </w:trPr>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7"/>
          </w:tcPr>
          <w:p>
            <w:pPr>
              <w:ind w:left="120"/>
              <w:spacing w:after="0"/>
              <w:rPr>
                <w:sz w:val="20"/>
                <w:szCs w:val="20"/>
                <w:color w:val="auto"/>
              </w:rPr>
            </w:pPr>
            <w:r>
              <w:rPr>
                <w:rFonts w:ascii="Times New Roman" w:cs="Times New Roman" w:eastAsia="Times New Roman" w:hAnsi="Times New Roman"/>
                <w:sz w:val="14"/>
                <w:szCs w:val="14"/>
                <w:color w:val="auto"/>
              </w:rPr>
              <w:t>Unisys Corporation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Common</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Treasury</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68"/>
              <w:spacing w:after="0" w:line="133" w:lineRule="exact"/>
              <w:rPr>
                <w:sz w:val="20"/>
                <w:szCs w:val="20"/>
                <w:color w:val="auto"/>
              </w:rPr>
            </w:pPr>
            <w:r>
              <w:rPr>
                <w:rFonts w:ascii="Times New Roman" w:cs="Times New Roman" w:eastAsia="Times New Roman" w:hAnsi="Times New Roman"/>
                <w:sz w:val="14"/>
                <w:szCs w:val="14"/>
                <w:color w:val="auto"/>
              </w:rPr>
              <w:t>Accumu-</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7"/>
              </w:rPr>
              <w:t>Non-</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Unisys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Accumu-</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Paid-in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color w:val="auto"/>
              </w:rPr>
              <w:t>lated 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Stock Par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At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Compre-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Corporation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Value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lated Deficit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Cost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hensive Loss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(960.5)</w:t>
            </w: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4,656.9</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(3,939.5)</w:t>
            </w: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Consolidated net (loss) income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on conversion of notes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activity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Postretirement plans</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Borders>
              <w:bottom w:val="single" w:sz="8" w:color="CCEEFF"/>
            </w:tcBorders>
            <w:shd w:val="clear" w:color="auto" w:fill="CCEEFF"/>
          </w:tcPr>
          <w:p>
            <w:pPr>
              <w:spacing w:after="0"/>
              <w:rPr>
                <w:sz w:val="18"/>
                <w:szCs w:val="18"/>
                <w:color w:val="auto"/>
              </w:rPr>
            </w:pPr>
          </w:p>
        </w:tc>
        <w:tc>
          <w:tcPr>
            <w:tcW w:w="3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20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4,693.1</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Consolidated net loss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5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activity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Postretirement plans</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2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4,697.8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(3,596.1)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(loss) income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activity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Translation adjustments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Postretirement plans</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2021</w:t>
            </w:r>
          </w:p>
        </w:tc>
        <w:tc>
          <w:tcPr>
            <w:tcW w:w="20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4,703.1</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UNISYS CORPORATION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(Unaudited)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(Dollars in millions, except share and per share amounts)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 Basis of Presentation</w:t>
      </w:r>
    </w:p>
    <w:p>
      <w:pPr>
        <w:spacing w:after="0" w:line="11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The accompanying consolidated financial statements and footnotes of Unisys Corporation have been prepared in accordance with generally accepted accounting principles in the United States of America (GAAP). The financial statements and footnotes are unaudited. In the opinion of management, the financial information furnished herein reflects all adjustments necessary for a fair statement of the results of operations, comprehensive income (loss), financial position, cash flows and deficit for the interim periods specified. These adjustments consist only of normal recurring accruals except as disclosed herein. Because of seasonal and other factors, results for interim periods are not necessarily indicative of the results to be expected for the full year.</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about future events. These estimates and assumptions affect the amounts of assets and liabilities reported, disclosures about contingent assets and liabilities and the reported amounts of revenue and expenses. Such estimates include the valuation of estimated credit losses, contract assets, operating lease right-of-use assets, outsourcing assets, marketable software, goodwill, purchased intangibles and other long-lived assets, legal contingencies, assumptions used in the calculation for systems integration projects, income taxes and retirement and other post-employment benefits,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Management adjusts such estimates and assumptions when facts and circumstances dictate. As future events and their effects cannot be determined with precision, actual results could differ materially from these estimates. Changes in those estimates resulting from continuing changes in the economic environment will be reflected in the financial statements in future periods.</w:t>
      </w:r>
    </w:p>
    <w:p>
      <w:pPr>
        <w:spacing w:after="0" w:line="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accounting policies are set forth in detail in Note 1 of the Notes to Consolidated Financial Statements in the company’s Annual Report on Form 10-K for the year ended December 31, 2021 filed with the Securities and Exchange Commission. Such Annual Report also contains a discussion of the company’s critical accounting policies and estimates. The company believes that these critical accounting policies and estimates affect its more significant estimates and judgments used in the preparation of the company’s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b w:val="1"/>
          <w:bCs w:val="1"/>
          <w:color w:val="auto"/>
        </w:rPr>
        <w:t xml:space="preserve"> Accounting Standards</w:t>
      </w:r>
    </w:p>
    <w:p>
      <w:pPr>
        <w:spacing w:after="0" w:line="1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January 1, 2022, the company adopted Accounting Standards Update (ASU) No. 2021-08, Accounting for Contract Assets and Contract Liabilities from Contracts with Customers. This guidance requires that an acquirer recognize and measure contract assets and contract liabilities acquired in a business combination in accordance with ASC 606, Revenue from Contracts with Customers, as if it had originated the contracts. Deferred revenue acquired in a business combination is no longer required to be measured at its fair value, which had historically resulted in a deferred revenue impairment at the date of acquisition. The company will adopt this guidance for acquisitions completed on or after January 1,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 Acquisitions</w:t>
      </w:r>
    </w:p>
    <w:p>
      <w:pPr>
        <w:spacing w:after="0" w:line="11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December 14, 2021, the company acquired 100% of CompuGain LLC (CompuGain), a leading cloud solutions provider, for a purchase price consideration of $85.3 million on a cash-free, debt-free basis. The company funded the cash consideration and acquisition-related costs with cash on hand.</w:t>
      </w:r>
    </w:p>
    <w:p>
      <w:pPr>
        <w:spacing w:after="0" w:line="5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The acquisition enhanced the company’s delivery of rapid and agile cloud migration, application modernization and data value realization to our clients.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values of the total net assets acquired was as follows:</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92"/>
        </w:trPr>
        <w:tc>
          <w:tcPr>
            <w:tcW w:w="10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9"/>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Properties and other long-term assets</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10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9"/>
        </w:trPr>
        <w:tc>
          <w:tcPr>
            <w:tcW w:w="10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48"/>
        </w:trPr>
        <w:tc>
          <w:tcPr>
            <w:tcW w:w="10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0"/>
        </w:trPr>
        <w:tc>
          <w:tcPr>
            <w:tcW w:w="10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the second quarter of 2022, the company finalized its valuation of assets acquired and liabilities assumed resulting in measurement period adjustments that decreased goodwill by $27.5 million primarily related to an increase of $27.6 million in the fair value of the acquired intangible assets.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Goodwill is the excess of the purchase price consideration over the fair value of the underlying intangible assets and net liabilities assumed. The goodwill represents expected synergies, intellectual capital and the acquired assembled workforce, none of which qualify for recognition as a separate intangible asset. Goodwill determined by the allocation of the purchase price was recorded in the company’s Cloud, Applications &amp; Infrastructure Solutions segment and is deductible for tax purposes.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intangible assets acquired and the related weighted average amortization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76"/>
        </w:trPr>
        <w:tc>
          <w:tcPr>
            <w:tcW w:w="8120" w:type="dxa"/>
            <w:vAlign w:val="bottom"/>
          </w:tcPr>
          <w:p>
            <w:pPr>
              <w:spacing w:after="0"/>
              <w:rPr>
                <w:sz w:val="15"/>
                <w:szCs w:val="15"/>
                <w:color w:val="auto"/>
              </w:rPr>
            </w:pPr>
          </w:p>
        </w:tc>
        <w:tc>
          <w:tcPr>
            <w:tcW w:w="20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Amortization Period in</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8120" w:type="dxa"/>
            <w:vAlign w:val="bottom"/>
          </w:tcPr>
          <w:p>
            <w:pPr>
              <w:spacing w:after="0"/>
              <w:rPr>
                <w:sz w:val="21"/>
                <w:szCs w:val="21"/>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Years</w:t>
            </w:r>
          </w:p>
        </w:tc>
        <w:tc>
          <w:tcPr>
            <w:tcW w:w="1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23"/>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9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w:t>
            </w:r>
          </w:p>
        </w:tc>
        <w:tc>
          <w:tcPr>
            <w:tcW w:w="1980" w:type="dxa"/>
            <w:vAlign w:val="bottom"/>
            <w:tcBorders>
              <w:bottom w:val="single" w:sz="8" w:color="CCEEFF"/>
            </w:tcBorders>
          </w:tcPr>
          <w:p>
            <w:pPr>
              <w:jc w:val="right"/>
              <w:ind w:right="79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results of CompuGain commencing as of the acquisition date. Revenue and earnings for CompuGain have not been presented as the impact is not material to the company’s consolidated financial statements.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the company incurred and expensed acquisition-related costs of $0.4 million, Acquisition-related costs are included within selling, general and administrative expenses on the consolidated statements of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 Cost-Reduction Actions</w:t>
      </w:r>
    </w:p>
    <w:p>
      <w:pPr>
        <w:spacing w:after="0" w:line="1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recognized cost-reduction charges and other costs of $8.1 million. The charges related to work-force reductions were $0.5 million for changes in estimates. In addition, the company recorded charges of $7.6 million comprised of $1.9 million for net foreign currency losses related to exiting foreign countries, $4.7 million for asset impairments and $1.0 million for other expenses related to cost-reduction efforts.</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2021, the company recognized net cost-reduction charges and other costs of $0.8 million. The net credits related to work-force reductions were $0.6 million, principally related to severance costs, and were comprised of: (a) a charge of $0.7 million and (b) a credit of $1.3 million for changes in estimates. In addition, the company recorded net charges of $1.4 million comprised of a charge of $1.3 million for net foreign currency losses related to exiting foreign countries, a charge of $0.5 million for asset impairments and a credit of $0.4 million related to other cost-reduction efforts.</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recognized net cost-reduction charges and other costs of $14.2 million. The credit related to work-force reductions was $0.4 million for changes in estimates. In addition, the company recorded charges of $14.6 million comprised of $4.8 million for net foreign currency losses related to exiting foreign countries, $9.4 million for asset impairments and a net charge of $0.4 million for other expenses related to cost-reduction efforts.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 w:name="page10"/>
    <w:bookmarkEnd w:id="9"/>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2021, the company recognized net cost-reduction charges and other costs of $14.4 million. The net credits related to work-force reductions were $2.5 million, principally related to severance costs, and were comprised of: (a) a charge of $6.5 million and (b) a credit of $9.0 million for changes in estimates. In addition, the company recorded charges of $16.9 million comprised of $2.9 million for net foreign currency losses related to exiting foreign countries, $7.3 million for asset impairments and $6.7 million for other expenses related to cost-reduction efforts.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charges (credits) were recorded in the following statement of income (loss) classifications: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300" w:type="dxa"/>
            <w:vAlign w:val="bottom"/>
            <w:gridSpan w:val="9"/>
          </w:tcPr>
          <w:p>
            <w:pPr>
              <w:ind w:left="40"/>
              <w:spacing w:after="0"/>
              <w:rPr>
                <w:sz w:val="20"/>
                <w:szCs w:val="20"/>
                <w:color w:val="auto"/>
              </w:rPr>
            </w:pPr>
            <w:r>
              <w:rPr>
                <w:rFonts w:ascii="Times New Roman" w:cs="Times New Roman" w:eastAsia="Times New Roman" w:hAnsi="Times New Roman"/>
                <w:sz w:val="16"/>
                <w:szCs w:val="16"/>
                <w:color w:val="auto"/>
              </w:rPr>
              <w:t>Three Months Ended September</w:t>
            </w:r>
          </w:p>
        </w:tc>
        <w:tc>
          <w:tcPr>
            <w:tcW w:w="100" w:type="dxa"/>
            <w:vAlign w:val="bottom"/>
          </w:tcPr>
          <w:p>
            <w:pPr>
              <w:spacing w:after="0"/>
              <w:rPr>
                <w:sz w:val="16"/>
                <w:szCs w:val="16"/>
                <w:color w:val="auto"/>
              </w:rPr>
            </w:pPr>
          </w:p>
        </w:tc>
        <w:tc>
          <w:tcPr>
            <w:tcW w:w="1920" w:type="dxa"/>
            <w:vAlign w:val="bottom"/>
            <w:gridSpan w:val="8"/>
          </w:tcPr>
          <w:p>
            <w:pPr>
              <w:jc w:val="right"/>
              <w:ind w:right="270"/>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color w:val="auto"/>
              </w:rPr>
              <w:t>30,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8"/>
          </w:tcPr>
          <w:p>
            <w:pPr>
              <w:jc w:val="right"/>
              <w:ind w:right="450"/>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226"/>
        </w:trPr>
        <w:tc>
          <w:tcPr>
            <w:tcW w:w="502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9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center"/>
              <w:ind w:left="351"/>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center"/>
              <w:ind w:left="351"/>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7"/>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Liabilities and expected future payments related to the company’s work-force reduction actions are as follows:</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w w:val="98"/>
              </w:rPr>
              <w:t>U.S.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color w:val="auto"/>
              </w:rPr>
              <w:t>International</w:t>
            </w:r>
          </w:p>
        </w:tc>
        <w:tc>
          <w:tcPr>
            <w:tcW w:w="0" w:type="dxa"/>
            <w:vAlign w:val="bottom"/>
          </w:tcPr>
          <w:p>
            <w:pPr>
              <w:spacing w:after="0"/>
              <w:rPr>
                <w:sz w:val="1"/>
                <w:szCs w:val="1"/>
                <w:color w:val="auto"/>
              </w:rPr>
            </w:pPr>
          </w:p>
        </w:tc>
      </w:tr>
      <w:tr>
        <w:trPr>
          <w:trHeight w:val="22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9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w:t>
            </w:r>
          </w:p>
        </w:tc>
        <w:tc>
          <w:tcPr>
            <w:tcW w:w="1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Expected future utilization on balance at September 30, 2022:</w:t>
            </w:r>
          </w:p>
        </w:tc>
        <w:tc>
          <w:tcPr>
            <w:tcW w:w="1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1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500"/>
        </w:trPr>
        <w:tc>
          <w:tcPr>
            <w:tcW w:w="5020" w:type="dxa"/>
            <w:vAlign w:val="bottom"/>
          </w:tcPr>
          <w:p>
            <w:pPr>
              <w:spacing w:after="0"/>
              <w:rPr>
                <w:sz w:val="24"/>
                <w:szCs w:val="24"/>
                <w:color w:val="auto"/>
              </w:rPr>
            </w:pPr>
          </w:p>
        </w:tc>
        <w:tc>
          <w:tcPr>
            <w:tcW w:w="19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0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Note 5 - Pension and Postretirement Benefits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expense (income) is presented below:</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80" w:type="dxa"/>
            <w:vAlign w:val="bottom"/>
            <w:gridSpan w:val="6"/>
          </w:tcPr>
          <w:p>
            <w:pPr>
              <w:jc w:val="center"/>
              <w:ind w:left="572"/>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gridSpan w:val="6"/>
          </w:tcPr>
          <w:p>
            <w:pPr>
              <w:jc w:val="center"/>
              <w:ind w:left="572"/>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center"/>
              <w:ind w:left="552"/>
              <w:spacing w:after="0"/>
              <w:rPr>
                <w:sz w:val="20"/>
                <w:szCs w:val="20"/>
                <w:color w:val="auto"/>
              </w:rPr>
            </w:pPr>
            <w:r>
              <w:rPr>
                <w:rFonts w:ascii="Times New Roman" w:cs="Times New Roman" w:eastAsia="Times New Roman" w:hAnsi="Times New Roman"/>
                <w:sz w:val="18"/>
                <w:szCs w:val="18"/>
                <w:color w:val="auto"/>
              </w:rPr>
              <w:t>September 30, 2022</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center"/>
              <w:ind w:left="572"/>
              <w:spacing w:after="0"/>
              <w:rPr>
                <w:sz w:val="20"/>
                <w:szCs w:val="20"/>
                <w:color w:val="auto"/>
              </w:rPr>
            </w:pPr>
            <w:r>
              <w:rPr>
                <w:rFonts w:ascii="Times New Roman" w:cs="Times New Roman" w:eastAsia="Times New Roman" w:hAnsi="Times New Roman"/>
                <w:sz w:val="18"/>
                <w:szCs w:val="18"/>
                <w:color w:val="auto"/>
                <w:w w:val="99"/>
              </w:rPr>
              <w:t>September 30, 2021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4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color w:val="auto"/>
              </w:rPr>
              <w:t>U.S.</w:t>
            </w:r>
          </w:p>
        </w:tc>
        <w:tc>
          <w:tcPr>
            <w:tcW w:w="160" w:type="dxa"/>
            <w:vAlign w:val="bottom"/>
          </w:tcPr>
          <w:p>
            <w:pPr>
              <w:spacing w:after="0"/>
              <w:rPr>
                <w:sz w:val="11"/>
                <w:szCs w:val="11"/>
                <w:color w:val="auto"/>
              </w:rPr>
            </w:pPr>
          </w:p>
        </w:tc>
        <w:tc>
          <w:tcPr>
            <w:tcW w:w="880" w:type="dxa"/>
            <w:vAlign w:val="bottom"/>
          </w:tcPr>
          <w:p>
            <w:pPr>
              <w:jc w:val="center"/>
              <w:ind w:right="54"/>
              <w:spacing w:after="0" w:line="137" w:lineRule="exact"/>
              <w:rPr>
                <w:sz w:val="20"/>
                <w:szCs w:val="20"/>
                <w:color w:val="auto"/>
              </w:rPr>
            </w:pPr>
            <w:r>
              <w:rPr>
                <w:rFonts w:ascii="Times New Roman" w:cs="Times New Roman" w:eastAsia="Times New Roman" w:hAnsi="Times New Roman"/>
                <w:sz w:val="14"/>
                <w:szCs w:val="14"/>
                <w:color w:val="auto"/>
              </w:rPr>
              <w:t>International</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1"/>
                <w:szCs w:val="11"/>
                <w:color w:val="auto"/>
              </w:rPr>
            </w:pPr>
          </w:p>
        </w:tc>
        <w:tc>
          <w:tcPr>
            <w:tcW w:w="9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color w:val="auto"/>
                <w:w w:val="96"/>
              </w:rPr>
              <w:t>U.S.</w:t>
            </w:r>
          </w:p>
        </w:tc>
        <w:tc>
          <w:tcPr>
            <w:tcW w:w="140" w:type="dxa"/>
            <w:vAlign w:val="bottom"/>
          </w:tcPr>
          <w:p>
            <w:pPr>
              <w:spacing w:after="0"/>
              <w:rPr>
                <w:sz w:val="11"/>
                <w:szCs w:val="11"/>
                <w:color w:val="auto"/>
              </w:rPr>
            </w:pPr>
          </w:p>
        </w:tc>
        <w:tc>
          <w:tcPr>
            <w:tcW w:w="900" w:type="dxa"/>
            <w:vAlign w:val="bottom"/>
          </w:tcPr>
          <w:p>
            <w:pPr>
              <w:jc w:val="center"/>
              <w:ind w:right="54"/>
              <w:spacing w:after="0" w:line="137" w:lineRule="exact"/>
              <w:rPr>
                <w:sz w:val="20"/>
                <w:szCs w:val="20"/>
                <w:color w:val="auto"/>
              </w:rPr>
            </w:pPr>
            <w:r>
              <w:rPr>
                <w:rFonts w:ascii="Times New Roman" w:cs="Times New Roman" w:eastAsia="Times New Roman" w:hAnsi="Times New Roman"/>
                <w:sz w:val="14"/>
                <w:szCs w:val="14"/>
                <w:color w:val="auto"/>
              </w:rPr>
              <w:t>International</w:t>
            </w:r>
          </w:p>
        </w:tc>
        <w:tc>
          <w:tcPr>
            <w:tcW w:w="0" w:type="dxa"/>
            <w:vAlign w:val="bottom"/>
          </w:tcPr>
          <w:p>
            <w:pPr>
              <w:spacing w:after="0"/>
              <w:rPr>
                <w:sz w:val="1"/>
                <w:szCs w:val="1"/>
                <w:color w:val="auto"/>
              </w:rPr>
            </w:pPr>
          </w:p>
        </w:tc>
      </w:tr>
      <w:tr>
        <w:trPr>
          <w:trHeight w:val="193"/>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Plans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Plans</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Plans</w:t>
            </w:r>
          </w:p>
        </w:tc>
        <w:tc>
          <w:tcPr>
            <w:tcW w:w="140" w:type="dxa"/>
            <w:vAlign w:val="bottom"/>
          </w:tcPr>
          <w:p>
            <w:pPr>
              <w:spacing w:after="0"/>
              <w:rPr>
                <w:sz w:val="16"/>
                <w:szCs w:val="16"/>
                <w:color w:val="auto"/>
              </w:rPr>
            </w:pP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4"/>
                <w:szCs w:val="14"/>
                <w:color w:val="auto"/>
              </w:rPr>
              <w:t>Plans</w:t>
            </w: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Service cost</w:t>
            </w:r>
            <w:r>
              <w:rPr>
                <w:rFonts w:ascii="Times New Roman" w:cs="Times New Roman" w:eastAsia="Times New Roman" w:hAnsi="Times New Roman"/>
                <w:sz w:val="23"/>
                <w:szCs w:val="23"/>
                <w:color w:val="auto"/>
                <w:vertAlign w:val="superscript"/>
              </w:rPr>
              <w:t>(i)</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benefit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expense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6"/>
          </w:tcPr>
          <w:p>
            <w:pPr>
              <w:jc w:val="center"/>
              <w:ind w:left="552"/>
              <w:spacing w:after="0"/>
              <w:rPr>
                <w:sz w:val="20"/>
                <w:szCs w:val="20"/>
                <w:color w:val="auto"/>
              </w:rPr>
            </w:pPr>
            <w:r>
              <w:rPr>
                <w:rFonts w:ascii="Times New Roman" w:cs="Times New Roman" w:eastAsia="Times New Roman" w:hAnsi="Times New Roman"/>
                <w:sz w:val="18"/>
                <w:szCs w:val="18"/>
                <w:color w:val="auto"/>
              </w:rPr>
              <w:t>Nine Months Ended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6"/>
          </w:tcPr>
          <w:p>
            <w:pPr>
              <w:jc w:val="center"/>
              <w:ind w:left="592"/>
              <w:spacing w:after="0"/>
              <w:rPr>
                <w:sz w:val="20"/>
                <w:szCs w:val="20"/>
                <w:color w:val="auto"/>
              </w:rPr>
            </w:pPr>
            <w:r>
              <w:rPr>
                <w:rFonts w:ascii="Times New Roman" w:cs="Times New Roman" w:eastAsia="Times New Roman" w:hAnsi="Times New Roman"/>
                <w:sz w:val="18"/>
                <w:szCs w:val="18"/>
                <w:color w:val="auto"/>
              </w:rPr>
              <w:t>Nine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center"/>
              <w:ind w:left="552"/>
              <w:spacing w:after="0"/>
              <w:rPr>
                <w:sz w:val="20"/>
                <w:szCs w:val="20"/>
                <w:color w:val="auto"/>
              </w:rPr>
            </w:pPr>
            <w:r>
              <w:rPr>
                <w:rFonts w:ascii="Times New Roman" w:cs="Times New Roman" w:eastAsia="Times New Roman" w:hAnsi="Times New Roman"/>
                <w:sz w:val="18"/>
                <w:szCs w:val="18"/>
                <w:color w:val="auto"/>
              </w:rPr>
              <w:t>September 30, 2022</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center"/>
              <w:ind w:left="572"/>
              <w:spacing w:after="0"/>
              <w:rPr>
                <w:sz w:val="20"/>
                <w:szCs w:val="20"/>
                <w:color w:val="auto"/>
              </w:rPr>
            </w:pPr>
            <w:r>
              <w:rPr>
                <w:rFonts w:ascii="Times New Roman" w:cs="Times New Roman" w:eastAsia="Times New Roman" w:hAnsi="Times New Roman"/>
                <w:sz w:val="18"/>
                <w:szCs w:val="18"/>
                <w:color w:val="auto"/>
                <w:w w:val="99"/>
              </w:rPr>
              <w:t>September 30, 2021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U.S.</w:t>
            </w:r>
          </w:p>
        </w:tc>
        <w:tc>
          <w:tcPr>
            <w:tcW w:w="160" w:type="dxa"/>
            <w:vAlign w:val="bottom"/>
          </w:tcPr>
          <w:p>
            <w:pPr>
              <w:spacing w:after="0"/>
              <w:rPr>
                <w:sz w:val="11"/>
                <w:szCs w:val="11"/>
                <w:color w:val="auto"/>
              </w:rPr>
            </w:pPr>
          </w:p>
        </w:tc>
        <w:tc>
          <w:tcPr>
            <w:tcW w:w="880" w:type="dxa"/>
            <w:vAlign w:val="bottom"/>
          </w:tcPr>
          <w:p>
            <w:pPr>
              <w:jc w:val="center"/>
              <w:ind w:right="54"/>
              <w:spacing w:after="0" w:line="133" w:lineRule="exact"/>
              <w:rPr>
                <w:sz w:val="20"/>
                <w:szCs w:val="20"/>
                <w:color w:val="auto"/>
              </w:rPr>
            </w:pPr>
            <w:r>
              <w:rPr>
                <w:rFonts w:ascii="Times New Roman" w:cs="Times New Roman" w:eastAsia="Times New Roman" w:hAnsi="Times New Roman"/>
                <w:sz w:val="14"/>
                <w:szCs w:val="14"/>
                <w:color w:val="auto"/>
              </w:rPr>
              <w:t>International</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1"/>
                <w:szCs w:val="11"/>
                <w:color w:val="auto"/>
              </w:rPr>
            </w:pPr>
          </w:p>
        </w:tc>
        <w:tc>
          <w:tcPr>
            <w:tcW w:w="90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color w:val="auto"/>
                <w:w w:val="96"/>
              </w:rPr>
              <w:t>U.S.</w:t>
            </w:r>
          </w:p>
        </w:tc>
        <w:tc>
          <w:tcPr>
            <w:tcW w:w="140" w:type="dxa"/>
            <w:vAlign w:val="bottom"/>
          </w:tcPr>
          <w:p>
            <w:pPr>
              <w:spacing w:after="0"/>
              <w:rPr>
                <w:sz w:val="11"/>
                <w:szCs w:val="11"/>
                <w:color w:val="auto"/>
              </w:rPr>
            </w:pPr>
          </w:p>
        </w:tc>
        <w:tc>
          <w:tcPr>
            <w:tcW w:w="900" w:type="dxa"/>
            <w:vAlign w:val="bottom"/>
          </w:tcPr>
          <w:p>
            <w:pPr>
              <w:jc w:val="center"/>
              <w:ind w:right="54"/>
              <w:spacing w:after="0" w:line="133" w:lineRule="exact"/>
              <w:rPr>
                <w:sz w:val="20"/>
                <w:szCs w:val="20"/>
                <w:color w:val="auto"/>
              </w:rPr>
            </w:pPr>
            <w:r>
              <w:rPr>
                <w:rFonts w:ascii="Times New Roman" w:cs="Times New Roman" w:eastAsia="Times New Roman" w:hAnsi="Times New Roman"/>
                <w:sz w:val="14"/>
                <w:szCs w:val="14"/>
                <w:color w:val="auto"/>
              </w:rPr>
              <w:t>International</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Plans</w:t>
            </w: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Plans</w:t>
            </w: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Plans</w:t>
            </w:r>
          </w:p>
        </w:tc>
        <w:tc>
          <w:tcPr>
            <w:tcW w:w="140" w:type="dxa"/>
            <w:vAlign w:val="bottom"/>
          </w:tcPr>
          <w:p>
            <w:pPr>
              <w:spacing w:after="0"/>
              <w:rPr>
                <w:sz w:val="17"/>
                <w:szCs w:val="17"/>
                <w:color w:val="auto"/>
              </w:rPr>
            </w:pP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4"/>
                <w:szCs w:val="14"/>
                <w:color w:val="auto"/>
              </w:rPr>
              <w:t>Plans</w:t>
            </w:r>
          </w:p>
        </w:tc>
        <w:tc>
          <w:tcPr>
            <w:tcW w:w="0" w:type="dxa"/>
            <w:vAlign w:val="bottom"/>
          </w:tcPr>
          <w:p>
            <w:pPr>
              <w:spacing w:after="0"/>
              <w:rPr>
                <w:sz w:val="1"/>
                <w:szCs w:val="1"/>
                <w:color w:val="auto"/>
              </w:rPr>
            </w:pPr>
          </w:p>
        </w:tc>
      </w:tr>
      <w:tr>
        <w:trPr>
          <w:trHeight w:val="229"/>
        </w:trPr>
        <w:tc>
          <w:tcPr>
            <w:tcW w:w="4520" w:type="dxa"/>
            <w:vAlign w:val="bottom"/>
            <w:tcBorders>
              <w:top w:val="single" w:sz="8" w:color="CCEEFF"/>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Service cost</w:t>
            </w:r>
            <w:r>
              <w:rPr>
                <w:rFonts w:ascii="Times New Roman" w:cs="Times New Roman" w:eastAsia="Times New Roman" w:hAnsi="Times New Roman"/>
                <w:sz w:val="23"/>
                <w:szCs w:val="23"/>
                <w:color w:val="auto"/>
                <w:vertAlign w:val="superscript"/>
              </w:rPr>
              <w:t>(i)</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benefit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Settlement losses </w:t>
            </w:r>
            <w:r>
              <w:rPr>
                <w:rFonts w:ascii="Times New Roman" w:cs="Times New Roman" w:eastAsia="Times New Roman" w:hAnsi="Times New Roman"/>
                <w:sz w:val="23"/>
                <w:szCs w:val="23"/>
                <w:color w:val="auto"/>
                <w:vertAlign w:val="superscript"/>
              </w:rPr>
              <w:t>(ii) (iii)</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expense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0" w:right="80"/>
        <w:spacing w:after="0" w:line="210" w:lineRule="auto"/>
        <w:rPr>
          <w:sz w:val="20"/>
          <w:szCs w:val="20"/>
          <w:color w:val="auto"/>
        </w:rPr>
      </w:pPr>
      <w:r>
        <w:rPr>
          <w:rFonts w:ascii="Times New Roman" w:cs="Times New Roman" w:eastAsia="Times New Roman" w:hAnsi="Times New Roman"/>
          <w:sz w:val="21"/>
          <w:szCs w:val="21"/>
          <w:color w:val="auto"/>
          <w:vertAlign w:val="superscript"/>
        </w:rPr>
        <w:t>(i)</w:t>
      </w:r>
      <w:r>
        <w:rPr>
          <w:rFonts w:ascii="Times New Roman" w:cs="Times New Roman" w:eastAsia="Times New Roman" w:hAnsi="Times New Roman"/>
          <w:sz w:val="16"/>
          <w:szCs w:val="16"/>
          <w:color w:val="auto"/>
        </w:rPr>
        <w:t>Service cost is reported in selling, general and administrative expense. All other components of net periodic pension expense (income) are reported in other (expense), net in the consolidated statements of income (loss).</w:t>
      </w:r>
    </w:p>
    <w:p>
      <w:pPr>
        <w:spacing w:after="0" w:line="6" w:lineRule="exact"/>
        <w:rPr>
          <w:sz w:val="20"/>
          <w:szCs w:val="20"/>
          <w:color w:val="auto"/>
        </w:rPr>
      </w:pPr>
    </w:p>
    <w:p>
      <w:pPr>
        <w:ind w:left="40" w:right="120"/>
        <w:spacing w:after="0" w:line="210" w:lineRule="auto"/>
        <w:rPr>
          <w:sz w:val="20"/>
          <w:szCs w:val="20"/>
          <w:color w:val="auto"/>
        </w:rPr>
      </w:pPr>
      <w:r>
        <w:rPr>
          <w:rFonts w:ascii="Times New Roman" w:cs="Times New Roman" w:eastAsia="Times New Roman" w:hAnsi="Times New Roman"/>
          <w:sz w:val="21"/>
          <w:szCs w:val="21"/>
          <w:color w:val="auto"/>
          <w:vertAlign w:val="superscript"/>
        </w:rPr>
        <w:t>(ii)</w:t>
      </w:r>
      <w:r>
        <w:rPr>
          <w:rFonts w:ascii="Times New Roman" w:cs="Times New Roman" w:eastAsia="Times New Roman" w:hAnsi="Times New Roman"/>
          <w:sz w:val="16"/>
          <w:szCs w:val="16"/>
          <w:color w:val="auto"/>
        </w:rPr>
        <w:t>In the second quarter of 2021, the company’s primary pension plan related to its Dutch subsidiary was transferred to a multi-client circle within a multi-employer fund. This action resulted in a pre-tax settlement loss of $182.6 million for the nine months ended September 30, 2021. Additionally, the company’s Swiss subsidiary transferred its defined benefit pension plans to a multiple-employer collective foundation. This action resulted in a pre-tax settlement loss of $28.1 million for the nine months ended September 30, 2021.</w:t>
      </w:r>
    </w:p>
    <w:p>
      <w:pPr>
        <w:spacing w:after="0" w:line="8" w:lineRule="exact"/>
        <w:rPr>
          <w:sz w:val="20"/>
          <w:szCs w:val="20"/>
          <w:color w:val="auto"/>
        </w:rPr>
      </w:pPr>
    </w:p>
    <w:p>
      <w:pPr>
        <w:ind w:left="40" w:right="40"/>
        <w:spacing w:after="0" w:line="210" w:lineRule="auto"/>
        <w:rPr>
          <w:sz w:val="20"/>
          <w:szCs w:val="20"/>
          <w:color w:val="auto"/>
        </w:rPr>
      </w:pPr>
      <w:r>
        <w:rPr>
          <w:rFonts w:ascii="Times New Roman" w:cs="Times New Roman" w:eastAsia="Times New Roman" w:hAnsi="Times New Roman"/>
          <w:sz w:val="21"/>
          <w:szCs w:val="21"/>
          <w:color w:val="auto"/>
          <w:vertAlign w:val="superscript"/>
        </w:rPr>
        <w:t>(iii)</w:t>
      </w:r>
      <w:r>
        <w:rPr>
          <w:rFonts w:ascii="Times New Roman" w:cs="Times New Roman" w:eastAsia="Times New Roman" w:hAnsi="Times New Roman"/>
          <w:sz w:val="16"/>
          <w:szCs w:val="16"/>
          <w:color w:val="auto"/>
        </w:rPr>
        <w:t>In January 2021, the company purchased a group annuity contract to transferred projected benefit obligations related to its U.S. defined benefit pension plans. This action resulted in a pre-tax settlement loss of $158.0 million for the nine months ended September 30, 2021.</w:t>
      </w:r>
    </w:p>
    <w:p>
      <w:pPr>
        <w:spacing w:after="0" w:line="1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2022, the company expects to make cash contributions of approximately $38.5 million primarily for the company’s international defined benefit pension plans. In 2021, the company made cash contributions of $52.4 million to its worldwide defined benefit pension plans. During the nine months ended September 30, 2022 and 2021, the company made cash contributions of $30.9 million and $40.3 million, respectively.</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At the end of each year, the company estimates its future cash contributions to its U.S. qualified defined benefit pension plans based on year-end pension data and assumptions. Any material deterioration in the value of the company’s U.S. qualified defined benefit pension plan assets, as well as changes in pension legislation, discount rate changes, asset return changes, or changes in economic or demographic trends, could require the company to make cash contributions to its U.S. defined benefit pension plans.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postretirement benefit income is presented below:</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11"/>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24"/>
                <w:szCs w:val="24"/>
                <w:color w:val="auto"/>
              </w:rPr>
            </w:pPr>
          </w:p>
        </w:tc>
        <w:tc>
          <w:tcPr>
            <w:tcW w:w="196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20"/>
                <w:szCs w:val="20"/>
                <w:color w:val="auto"/>
              </w:rPr>
            </w:pPr>
          </w:p>
        </w:tc>
        <w:tc>
          <w:tcPr>
            <w:tcW w:w="19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7"/>
        </w:trPr>
        <w:tc>
          <w:tcPr>
            <w:tcW w:w="67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Service cost</w:t>
            </w:r>
            <w:r>
              <w:rPr>
                <w:rFonts w:ascii="Times New Roman" w:cs="Times New Roman" w:eastAsia="Times New Roman" w:hAnsi="Times New Roman"/>
                <w:sz w:val="23"/>
                <w:szCs w:val="23"/>
                <w:color w:val="auto"/>
                <w:vertAlign w:val="superscript"/>
              </w:rPr>
              <w:t>(i)</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7"/>
              </w:rPr>
              <w:t>0.3</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7"/>
              </w:rPr>
              <w:t>1.3</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postretirement benefit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8"/>
              </w:rPr>
              <w:t>(0.6)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(1.9)</w:t>
            </w:r>
          </w:p>
        </w:tc>
      </w:tr>
      <w:tr>
        <w:trPr>
          <w:trHeight w:val="21"/>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20" w:right="120"/>
        <w:spacing w:after="0" w:line="210" w:lineRule="auto"/>
        <w:rPr>
          <w:sz w:val="20"/>
          <w:szCs w:val="20"/>
          <w:color w:val="auto"/>
        </w:rPr>
      </w:pPr>
      <w:r>
        <w:rPr>
          <w:rFonts w:ascii="Times New Roman" w:cs="Times New Roman" w:eastAsia="Times New Roman" w:hAnsi="Times New Roman"/>
          <w:sz w:val="21"/>
          <w:szCs w:val="21"/>
          <w:color w:val="auto"/>
          <w:vertAlign w:val="superscript"/>
        </w:rPr>
        <w:t>(i)</w:t>
      </w:r>
      <w:r>
        <w:rPr>
          <w:rFonts w:ascii="Times New Roman" w:cs="Times New Roman" w:eastAsia="Times New Roman" w:hAnsi="Times New Roman"/>
          <w:sz w:val="16"/>
          <w:szCs w:val="16"/>
          <w:color w:val="auto"/>
        </w:rPr>
        <w:t>Service cost is reported in selling, general and administrative expense. All other components of net periodic postretirement benefit expense (income) are reported in other (expense), net in the consolidated statements of income (loss).</w:t>
      </w:r>
    </w:p>
    <w:p>
      <w:pPr>
        <w:spacing w:after="0" w:line="8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expects to make cash contributions of approximately $6 million to its postretirement benefit plan in 2022. In 2021, the company made cash contributions of $4.0 million to its postretirement benefit plan. For the nine months ended September 30, 2022 and 2021, the company made cash contributions of $3.0 million and $3.3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 Stock Compensation</w:t>
      </w:r>
    </w:p>
    <w:p>
      <w:pPr>
        <w:spacing w:after="0" w:line="11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Under stockholder approved stock-based plans, stock options, stock appreciation rights, restricted stock and restricted stock units may be granted to officers, directors and other key employees.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has granted non-qualified stock options, restricted stock and restricted stock units under these plans. The company recognizes compensation cost, net of a forfeiture rate, in selling, general and administrative expense, and recognizes compensation cost only for those awards expected to vest. The company estimates the forfeiture rate based on its historical experience and its expectations about future forfeitures.</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company recorded $15.2 million and $11.5 million of share-based restricted stock and restricted stock unit compensation expense, respectively.</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Restricted stock and restricted stock unit awards may contain time-based units, performance-based units, total shareholder return market-based units, or a combination of these units. Each performance-based and market-based unit will vest into zero to two shares depending on the degree to which the performance or market conditions are met. Compensation expense for performance-based awards is recognized as expense ratably for each installment from the date of grant until the date the restrictions lapse and is based on the fair market value at the date of grant and the probability of achievement of the specific performance-related goals. Compensation expense for market-related awards is recognized as expense ratably over the measurement period, regardless of the actual level of achievement, provided the service requirement is met. Restricted stock unit grants for the company’s directors vest upon award and compensation expense for such awards is recognized upon grant.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and restricted stock unit (RSU) activity for the nine months ended September 30, 2022 follows (shares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80" w:type="dxa"/>
            <w:vAlign w:val="bottom"/>
            <w:vMerge w:val="restart"/>
          </w:tcPr>
          <w:p>
            <w:pPr>
              <w:jc w:val="right"/>
              <w:ind w:right="155"/>
              <w:spacing w:after="0"/>
              <w:rPr>
                <w:sz w:val="20"/>
                <w:szCs w:val="20"/>
                <w:color w:val="auto"/>
              </w:rPr>
            </w:pPr>
            <w:r>
              <w:rPr>
                <w:rFonts w:ascii="Times New Roman" w:cs="Times New Roman" w:eastAsia="Times New Roman" w:hAnsi="Times New Roman"/>
                <w:sz w:val="16"/>
                <w:szCs w:val="16"/>
                <w:color w:val="auto"/>
              </w:rPr>
              <w:t>Restricted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Weighted-</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w w:val="99"/>
              </w:rPr>
              <w:t>Average</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80" w:type="dxa"/>
            <w:vAlign w:val="bottom"/>
          </w:tcPr>
          <w:p>
            <w:pPr>
              <w:jc w:val="right"/>
              <w:ind w:right="275"/>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rPr>
              <w:t>Grant-Date</w:t>
            </w:r>
          </w:p>
        </w:tc>
        <w:tc>
          <w:tcPr>
            <w:tcW w:w="0" w:type="dxa"/>
            <w:vAlign w:val="bottom"/>
          </w:tcPr>
          <w:p>
            <w:pPr>
              <w:spacing w:after="0"/>
              <w:rPr>
                <w:sz w:val="1"/>
                <w:szCs w:val="1"/>
                <w:color w:val="auto"/>
              </w:rPr>
            </w:pPr>
          </w:p>
        </w:tc>
      </w:tr>
      <w:tr>
        <w:trPr>
          <w:trHeight w:val="213"/>
        </w:trPr>
        <w:tc>
          <w:tcPr>
            <w:tcW w:w="4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6"/>
                <w:szCs w:val="16"/>
                <w:color w:val="auto"/>
              </w:rPr>
              <w:t>and RSU</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Fair Value</w:t>
            </w:r>
          </w:p>
        </w:tc>
        <w:tc>
          <w:tcPr>
            <w:tcW w:w="0" w:type="dxa"/>
            <w:vAlign w:val="bottom"/>
          </w:tcPr>
          <w:p>
            <w:pPr>
              <w:spacing w:after="0"/>
              <w:rPr>
                <w:sz w:val="1"/>
                <w:szCs w:val="1"/>
                <w:color w:val="auto"/>
              </w:rPr>
            </w:pP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48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5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48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right"/>
              <w:ind w:right="31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06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06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ind w:right="300"/>
        <w:spacing w:after="0" w:line="261" w:lineRule="auto"/>
        <w:rPr>
          <w:sz w:val="20"/>
          <w:szCs w:val="20"/>
          <w:color w:val="auto"/>
        </w:rPr>
      </w:pPr>
      <w:r>
        <w:rPr>
          <w:rFonts w:ascii="Times New Roman" w:cs="Times New Roman" w:eastAsia="Times New Roman" w:hAnsi="Times New Roman"/>
          <w:sz w:val="18"/>
          <w:szCs w:val="18"/>
          <w:color w:val="auto"/>
        </w:rPr>
        <w:t>The aggregate weighted-average grant-date fair value of restricted stock and restricted stock units granted during the nine months ended September 30, 2022 and 2021 was $27.0 million and $32.4 million, respectively. The fair value of restricted stock and restricted stock units with time and performance conditions was determined based on the trading price of the company’s common shares on the date of grant. The fair value of awards with market conditions was estimated using a Monte Carlo simulation with the following weighted-average assumptions:</w:t>
      </w:r>
    </w:p>
    <w:p>
      <w:pPr>
        <w:spacing w:after="0" w:line="101"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8"/>
          <w:szCs w:val="18"/>
          <w:color w:val="auto"/>
        </w:rPr>
        <w:t>Nine Months Ended</w:t>
      </w:r>
    </w:p>
    <w:p>
      <w:pPr>
        <w:jc w:val="center"/>
        <w:ind w:left="8760"/>
        <w:spacing w:after="0"/>
        <w:rPr>
          <w:sz w:val="20"/>
          <w:szCs w:val="20"/>
          <w:color w:val="auto"/>
        </w:rPr>
      </w:pPr>
      <w:r>
        <w:rPr>
          <w:rFonts w:ascii="Times New Roman" w:cs="Times New Roman" w:eastAsia="Times New Roman" w:hAnsi="Times New Roman"/>
          <w:sz w:val="18"/>
          <w:szCs w:val="18"/>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7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grant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40.02</w:t>
            </w:r>
          </w:p>
        </w:tc>
      </w:tr>
      <w:tr>
        <w:trPr>
          <w:trHeight w:val="229"/>
        </w:trPr>
        <w:tc>
          <w:tcPr>
            <w:tcW w:w="8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Risk-free interest rate</w:t>
            </w:r>
            <w:r>
              <w:rPr>
                <w:rFonts w:ascii="Times New Roman" w:cs="Times New Roman" w:eastAsia="Times New Roman" w:hAnsi="Times New Roman"/>
                <w:sz w:val="23"/>
                <w:szCs w:val="23"/>
                <w:color w:val="auto"/>
                <w:vertAlign w:val="superscript"/>
              </w:rPr>
              <w:t>(i)</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0.27 %</w:t>
            </w:r>
          </w:p>
        </w:tc>
      </w:tr>
      <w:tr>
        <w:trPr>
          <w:trHeight w:val="230"/>
        </w:trPr>
        <w:tc>
          <w:tcPr>
            <w:tcW w:w="8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Expected volatility</w:t>
            </w:r>
            <w:r>
              <w:rPr>
                <w:rFonts w:ascii="Times New Roman" w:cs="Times New Roman" w:eastAsia="Times New Roman" w:hAnsi="Times New Roman"/>
                <w:sz w:val="23"/>
                <w:szCs w:val="23"/>
                <w:color w:val="auto"/>
                <w:vertAlign w:val="superscript"/>
              </w:rPr>
              <w:t>(ii)</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57.08 %</w:t>
            </w:r>
          </w:p>
        </w:tc>
      </w:tr>
      <w:tr>
        <w:trPr>
          <w:trHeight w:val="229"/>
        </w:trPr>
        <w:tc>
          <w:tcPr>
            <w:tcW w:w="8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Expected life of restricted stock units in years</w:t>
            </w:r>
            <w:r>
              <w:rPr>
                <w:rFonts w:ascii="Times New Roman" w:cs="Times New Roman" w:eastAsia="Times New Roman" w:hAnsi="Times New Roman"/>
                <w:sz w:val="23"/>
                <w:szCs w:val="23"/>
                <w:color w:val="auto"/>
                <w:vertAlign w:val="superscript"/>
              </w:rPr>
              <w:t>(iii)</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4"/>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vertAlign w:val="superscript"/>
        </w:rPr>
        <w:t>(i)</w:t>
      </w:r>
      <w:r>
        <w:rPr>
          <w:rFonts w:ascii="Times New Roman" w:cs="Times New Roman" w:eastAsia="Times New Roman" w:hAnsi="Times New Roman"/>
          <w:sz w:val="16"/>
          <w:szCs w:val="16"/>
          <w:color w:val="auto"/>
        </w:rPr>
        <w:t>Represents the continuously compounded semi-annual zero-coupon U.S. treasury rate commensurate with the remaining performance period.</w:t>
      </w:r>
    </w:p>
    <w:p>
      <w:pPr>
        <w:ind w:left="20"/>
        <w:spacing w:after="0" w:line="201" w:lineRule="auto"/>
        <w:rPr>
          <w:sz w:val="20"/>
          <w:szCs w:val="20"/>
          <w:color w:val="auto"/>
        </w:rPr>
      </w:pPr>
      <w:r>
        <w:rPr>
          <w:rFonts w:ascii="Times New Roman" w:cs="Times New Roman" w:eastAsia="Times New Roman" w:hAnsi="Times New Roman"/>
          <w:sz w:val="21"/>
          <w:szCs w:val="21"/>
          <w:color w:val="auto"/>
          <w:vertAlign w:val="superscript"/>
        </w:rPr>
        <w:t>(ii)</w:t>
      </w:r>
      <w:r>
        <w:rPr>
          <w:rFonts w:ascii="Times New Roman" w:cs="Times New Roman" w:eastAsia="Times New Roman" w:hAnsi="Times New Roman"/>
          <w:sz w:val="16"/>
          <w:szCs w:val="16"/>
          <w:color w:val="auto"/>
        </w:rPr>
        <w:t>Based on historical volatility for the company that is commensurate with the length of the performance period.</w:t>
      </w:r>
    </w:p>
    <w:p>
      <w:pPr>
        <w:ind w:left="20"/>
        <w:spacing w:after="0"/>
        <w:rPr>
          <w:sz w:val="20"/>
          <w:szCs w:val="20"/>
          <w:color w:val="auto"/>
        </w:rPr>
      </w:pPr>
      <w:r>
        <w:rPr>
          <w:rFonts w:ascii="Times New Roman" w:cs="Times New Roman" w:eastAsia="Times New Roman" w:hAnsi="Times New Roman"/>
          <w:sz w:val="21"/>
          <w:szCs w:val="21"/>
          <w:color w:val="auto"/>
          <w:vertAlign w:val="superscript"/>
        </w:rPr>
        <w:t>(iii)</w:t>
      </w:r>
      <w:r>
        <w:rPr>
          <w:rFonts w:ascii="Times New Roman" w:cs="Times New Roman" w:eastAsia="Times New Roman" w:hAnsi="Times New Roman"/>
          <w:sz w:val="16"/>
          <w:szCs w:val="16"/>
          <w:color w:val="auto"/>
        </w:rPr>
        <w:t>Represents the remaining life of the longest performance period.</w:t>
      </w:r>
    </w:p>
    <w:p>
      <w:pPr>
        <w:spacing w:after="0" w:line="1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2022, there was $34.0 million of total unrecognized compensation cost related to outstanding restricted stock and restricted stock units granted under the company’s plans. That cost is expected to be recognized over a weighted-average period of 2.1 years. The aggregate weighted-average grant-date fair value of restricted stock and restricted stock units vested during the nine months ended September 30, 2022 and 2021 was $16.6 million and $14.8 million, respectively.</w:t>
      </w:r>
    </w:p>
    <w:p>
      <w:pPr>
        <w:spacing w:after="0" w:line="72"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Common stock issued upon the lapse of restrictions on restricted stock and restricted stock units are newly issued shares. In light of its tax position, the company is currently not recognizing any tax benefits from the issuance of stock upon lapse of restrictions on restricted stock and restricted stock units.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 Other (expense), net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is comprised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8"/>
                <w:szCs w:val="18"/>
                <w:color w:val="auto"/>
              </w:rPr>
            </w:pPr>
          </w:p>
        </w:tc>
        <w:tc>
          <w:tcPr>
            <w:tcW w:w="19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20"/>
                <w:szCs w:val="20"/>
                <w:color w:val="auto"/>
              </w:rPr>
            </w:pPr>
          </w:p>
        </w:tc>
        <w:tc>
          <w:tcPr>
            <w:tcW w:w="19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7"/>
        </w:trPr>
        <w:tc>
          <w:tcPr>
            <w:tcW w:w="67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costs and other, net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*Includes $368.7 million in the nine months ended September 30, 2021 of settlement losses related to defined benefit pension plans. See Note 5.</w:t>
      </w:r>
    </w:p>
    <w:p>
      <w:pPr>
        <w:spacing w:after="0" w:line="100" w:lineRule="exact"/>
        <w:rPr>
          <w:sz w:val="20"/>
          <w:szCs w:val="20"/>
          <w:color w:val="auto"/>
        </w:rPr>
      </w:pPr>
    </w:p>
    <w:p>
      <w:pPr>
        <w:jc w:val="both"/>
        <w:ind w:right="280"/>
        <w:spacing w:after="0" w:line="272" w:lineRule="auto"/>
        <w:rPr>
          <w:sz w:val="20"/>
          <w:szCs w:val="20"/>
          <w:color w:val="auto"/>
        </w:rPr>
      </w:pPr>
      <w:r>
        <w:rPr>
          <w:rFonts w:ascii="Times New Roman" w:cs="Times New Roman" w:eastAsia="Times New Roman" w:hAnsi="Times New Roman"/>
          <w:sz w:val="16"/>
          <w:szCs w:val="16"/>
          <w:color w:val="auto"/>
        </w:rPr>
        <w:t>**Includes net foreign losses of $1.9 million and $1.3 million, respectively, in the three months ended September 30, 2022 and 2021, related to substantial completion of liquidation of foreign subsidiaries. Includes net foreign currency losses of $4.8 million and $2.9 million, respectively, in the nine months ended September 30, 2022 and 2021, related to substantial completion of liquidation of foreign subsidiaries.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8 - Income Taxes</w:t>
      </w:r>
    </w:p>
    <w:p>
      <w:pPr>
        <w:spacing w:after="0" w:line="11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Accounting rules governing income taxes require that deferred tax assets and liabilities be recognized using enacted tax rates for the effect of temporary differences between the book and tax bases of recorded assets and liabilities. These rules also require that deferred tax assets be reduced by a valuation allowance if it is more likely than not that some portion or the entire deferred tax asset will not be realized.</w:t>
      </w:r>
    </w:p>
    <w:p>
      <w:pPr>
        <w:spacing w:after="0" w:line="6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evaluates the realizability of its deferred tax assets by assessing its valuation allowance and by adjusting the amount of such allowance, if necessary. The realization of the company’s net deferred tax assets as of September 30, 2022 is primarily dependent on the ability to generate sustained taxable income in various jurisdictions. Judgment is required to estimate forecasted future taxable income, which may be impacted by future business developments, actual results, strategic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spacing w:after="0" w:line="258" w:lineRule="auto"/>
        <w:rPr>
          <w:sz w:val="20"/>
          <w:szCs w:val="20"/>
          <w:color w:val="auto"/>
        </w:rPr>
      </w:pPr>
      <w:r>
        <w:rPr>
          <w:rFonts w:ascii="Times New Roman" w:cs="Times New Roman" w:eastAsia="Times New Roman" w:hAnsi="Times New Roman"/>
          <w:sz w:val="18"/>
          <w:szCs w:val="18"/>
          <w:color w:val="auto"/>
        </w:rPr>
        <w:t>operational and tax initiatives, legislative, and other economic factors and developments. Any increase or decrease in the valuation allowance would result in additional or lower income tax expense in that period and could have a significant impact on that period’s earnings. As a result of its projections of future taxable income, the company has determined that a portion of its non-U.S. net deferred tax assets no longer requires a valuation allowance as of September 30, 2022. The release of the valuation allowance for the three and nine months ended September 30, 2022 was approximately $10.4 million and $12.1 million, respectively, primarily in the United Kingdom and other European jurisdictions.</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full valuation allowance is currently maintained for all U.S. and certain foreign deferred tax assets in excess of deferred tax liabilities. The company will record a tax provision or benefit for those international subsidiaries that do not have a full valuation allowance against their net deferred tax assets. Any profit or loss recorded for the company’s U.S. operations will have no provision or benefit associated with it due to such valuation allowance, except with respect to withholding taxes not creditable against future taxable income. As a result, the company’s provision or benefit for taxes may vary significantly depending on the geographic distribution of income.</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corporation’s ability to deduct its federal net operating loss (NOL) carryforwards and utilize certain other available tax attributes can be substantially constrained under the general annual limitation rules of Section 382 of the U.S. Internal Revenue Code (Section 382) if it undergoes an “ownership change” as defined in Section 382 (generally where cumulative stock ownership changes among material shareholders exceed 50 percent during a rolling three-year period). Similar rules may apply under state tax laws. A future tax “ownership change” pursuant to Section 382 or future changes in tax laws that impose tax attribute utilization limitations may severely limit or effectively eliminate the company’s ability to utilize its NOL carryforwards and other tax attributes.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9 - Loss Per Share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how loss per share attributable to Unisys Corporation was computed (shares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7"/>
                <w:szCs w:val="17"/>
                <w:color w:val="auto"/>
              </w:rPr>
            </w:pPr>
          </w:p>
        </w:tc>
        <w:tc>
          <w:tcPr>
            <w:tcW w:w="18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20"/>
                <w:szCs w:val="20"/>
                <w:color w:val="auto"/>
              </w:rPr>
            </w:pPr>
          </w:p>
        </w:tc>
        <w:tc>
          <w:tcPr>
            <w:tcW w:w="18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7"/>
        </w:trPr>
        <w:tc>
          <w:tcPr>
            <w:tcW w:w="69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per common share computation:</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Unisys Corporation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66,211</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per common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4"/>
        </w:trPr>
        <w:tc>
          <w:tcPr>
            <w:tcW w:w="6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per common share computation:</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Unisys Corporation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66,211</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incremental shares from assumed conversions of employee stock plans</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6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weighted average shares</w:t>
            </w: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67,787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67,131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67,623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66,211</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per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Anti-dilutive weighted-average stock options and restricted stock units</w:t>
            </w:r>
            <w:r>
              <w:rPr>
                <w:rFonts w:ascii="Times New Roman" w:cs="Times New Roman" w:eastAsia="Times New Roman" w:hAnsi="Times New Roman"/>
                <w:sz w:val="23"/>
                <w:szCs w:val="23"/>
                <w:color w:val="auto"/>
                <w:vertAlign w:val="superscript"/>
              </w:rPr>
              <w:t>(i)</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bl>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vertAlign w:val="superscript"/>
        </w:rPr>
        <w:t>(i)</w:t>
      </w:r>
      <w:r>
        <w:rPr>
          <w:rFonts w:ascii="Times New Roman" w:cs="Times New Roman" w:eastAsia="Times New Roman" w:hAnsi="Times New Roman"/>
          <w:sz w:val="16"/>
          <w:szCs w:val="16"/>
          <w:color w:val="auto"/>
        </w:rPr>
        <w:t>Amounts represent shares excluded from the computation of diluted loss per share, as their effect, if included, would have been anti-dilutive for the periods presented.</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Note 10 - Contract Assets and Deferred Revenue</w:t>
      </w:r>
    </w:p>
    <w:p>
      <w:pPr>
        <w:spacing w:after="0" w:line="11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Contract assets represent rights to consideration in exchange for goods or services transferred to a customer when that right is conditional on something other than the passage of time. Deferred revenue represents contract liabilities.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contract assets (liabilities)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auto"/>
              </w:rPr>
              <w:t>September 30,</w:t>
            </w:r>
          </w:p>
        </w:tc>
        <w:tc>
          <w:tcPr>
            <w:tcW w:w="120" w:type="dxa"/>
            <w:vAlign w:val="bottom"/>
          </w:tcPr>
          <w:p>
            <w:pPr>
              <w:spacing w:after="0"/>
              <w:rPr>
                <w:sz w:val="16"/>
                <w:szCs w:val="16"/>
                <w:color w:val="auto"/>
              </w:rPr>
            </w:pPr>
          </w:p>
        </w:tc>
        <w:tc>
          <w:tcPr>
            <w:tcW w:w="1140" w:type="dxa"/>
            <w:vAlign w:val="bottom"/>
            <w:gridSpan w:val="3"/>
          </w:tcPr>
          <w:p>
            <w:pPr>
              <w:jc w:val="right"/>
              <w:ind w:right="91"/>
              <w:spacing w:after="0"/>
              <w:rPr>
                <w:sz w:val="20"/>
                <w:szCs w:val="20"/>
                <w:color w:val="auto"/>
              </w:rPr>
            </w:pPr>
            <w:r>
              <w:rPr>
                <w:rFonts w:ascii="Times New Roman" w:cs="Times New Roman" w:eastAsia="Times New Roman" w:hAnsi="Times New Roman"/>
                <w:sz w:val="16"/>
                <w:szCs w:val="16"/>
                <w:color w:val="auto"/>
              </w:rPr>
              <w:t>December 31,</w:t>
            </w:r>
          </w:p>
        </w:tc>
      </w:tr>
      <w:tr>
        <w:trPr>
          <w:trHeight w:val="213"/>
        </w:trPr>
        <w:tc>
          <w:tcPr>
            <w:tcW w:w="6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color w:val="auto"/>
              </w:rPr>
              <w:t>2021</w:t>
            </w:r>
          </w:p>
        </w:tc>
      </w:tr>
      <w:tr>
        <w:trPr>
          <w:trHeight w:val="22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Contract assets - long-term</w:t>
            </w:r>
            <w:r>
              <w:rPr>
                <w:rFonts w:ascii="Times New Roman" w:cs="Times New Roman" w:eastAsia="Times New Roman" w:hAnsi="Times New Roman"/>
                <w:sz w:val="23"/>
                <w:szCs w:val="23"/>
                <w:color w:val="auto"/>
                <w:vertAlign w:val="superscript"/>
              </w:rPr>
              <w:t>(i)</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long-term</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384"/>
        </w:trPr>
        <w:tc>
          <w:tcPr>
            <w:tcW w:w="6760" w:type="dxa"/>
            <w:vAlign w:val="bottom"/>
          </w:tcPr>
          <w:p>
            <w:pPr>
              <w:ind w:left="20"/>
              <w:spacing w:after="0"/>
              <w:rPr>
                <w:sz w:val="20"/>
                <w:szCs w:val="20"/>
                <w:color w:val="auto"/>
              </w:rPr>
            </w:pPr>
            <w:r>
              <w:rPr>
                <w:rFonts w:ascii="Times New Roman" w:cs="Times New Roman" w:eastAsia="Times New Roman" w:hAnsi="Times New Roman"/>
                <w:sz w:val="21"/>
                <w:szCs w:val="21"/>
                <w:color w:val="auto"/>
                <w:vertAlign w:val="superscript"/>
              </w:rPr>
              <w:t>(i)</w:t>
            </w:r>
            <w:r>
              <w:rPr>
                <w:rFonts w:ascii="Times New Roman" w:cs="Times New Roman" w:eastAsia="Times New Roman" w:hAnsi="Times New Roman"/>
                <w:sz w:val="16"/>
                <w:szCs w:val="16"/>
                <w:color w:val="auto"/>
              </w:rPr>
              <w:t>Reported in other long-term assets on the company’s consolidated balance sheets.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changes in the above contract liability balances were as follows: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311"/>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4"/>
                <w:szCs w:val="24"/>
                <w:color w:val="auto"/>
              </w:rPr>
            </w:pPr>
          </w:p>
        </w:tc>
        <w:tc>
          <w:tcPr>
            <w:tcW w:w="2000" w:type="dxa"/>
            <w:vAlign w:val="bottom"/>
            <w:gridSpan w:val="6"/>
          </w:tcPr>
          <w:p>
            <w:pPr>
              <w:jc w:val="right"/>
              <w:ind w:right="271"/>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20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7"/>
        </w:trPr>
        <w:tc>
          <w:tcPr>
            <w:tcW w:w="67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that was included in deferred revenue at the beginning of the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11 - Capitalized Contract Costs</w:t>
      </w:r>
    </w:p>
    <w:p>
      <w:pPr>
        <w:spacing w:after="0" w:line="11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incremental direct costs of obtaining a contract consist of sales commissions which are deferred and amortized ratably over the initial contract life. These costs are classified as current or noncurrent based on the timing of when the company expects to recognize the expense. The current and noncurrent portions of deferred commissions are included in prepaid expenses and other current assets and in other long-term assets, respectively, in the company’s consolidated balance sheets. At September 30, 2022 and December 31, 2021, the company had $4.1 million and $6.7 million, respectively, of deferred commissions.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deferred commissions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8"/>
                <w:szCs w:val="18"/>
                <w:color w:val="auto"/>
              </w:rPr>
            </w:pPr>
          </w:p>
        </w:tc>
        <w:tc>
          <w:tcPr>
            <w:tcW w:w="18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760" w:type="dxa"/>
            <w:vAlign w:val="bottom"/>
          </w:tcPr>
          <w:p>
            <w:pPr>
              <w:spacing w:after="0"/>
              <w:rPr>
                <w:sz w:val="20"/>
                <w:szCs w:val="20"/>
                <w:color w:val="auto"/>
              </w:rPr>
            </w:pPr>
          </w:p>
        </w:tc>
        <w:tc>
          <w:tcPr>
            <w:tcW w:w="18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7"/>
        </w:trPr>
        <w:tc>
          <w:tcPr>
            <w:tcW w:w="67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9"/>
              </w:rPr>
              <w:t>2022</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Deferred commissions - amortization expense</w:t>
            </w:r>
            <w:r>
              <w:rPr>
                <w:rFonts w:ascii="Times New Roman" w:cs="Times New Roman" w:eastAsia="Times New Roman" w:hAnsi="Times New Roman"/>
                <w:sz w:val="23"/>
                <w:szCs w:val="23"/>
                <w:color w:val="auto"/>
                <w:vertAlign w:val="superscript"/>
              </w:rPr>
              <w:t>(i)</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vertAlign w:val="superscript"/>
        </w:rPr>
        <w:t>(i)</w:t>
      </w:r>
      <w:r>
        <w:rPr>
          <w:rFonts w:ascii="Times New Roman" w:cs="Times New Roman" w:eastAsia="Times New Roman" w:hAnsi="Times New Roman"/>
          <w:sz w:val="16"/>
          <w:szCs w:val="16"/>
          <w:color w:val="auto"/>
        </w:rPr>
        <w:t>Reported in selling, general and administrative expense in the company’s consolidated statements of income (loss).</w:t>
      </w:r>
    </w:p>
    <w:p>
      <w:pPr>
        <w:spacing w:after="0" w:line="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Costs on outsourcing contracts are generally expensed as incurred. However, certain costs incurred upon initiation of an outsourcing contract (costs to fulfill a contract), principally initial customer setup, are capitalized and expensed over the initial contract life. These costs are included in outsourcing assets, net in the company’s consolidated balance sheets. The amount of such costs at September 30, 2022 and December 31, 2021 was $38.8 million and $56.2 million, respectively. These costs are amortized over the initial contract life and reported in cost of revenue.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costs to fulfill a contract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8"/>
                <w:szCs w:val="18"/>
                <w:color w:val="auto"/>
              </w:rPr>
            </w:pPr>
          </w:p>
        </w:tc>
        <w:tc>
          <w:tcPr>
            <w:tcW w:w="18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760" w:type="dxa"/>
            <w:vAlign w:val="bottom"/>
          </w:tcPr>
          <w:p>
            <w:pPr>
              <w:spacing w:after="0"/>
              <w:rPr>
                <w:sz w:val="20"/>
                <w:szCs w:val="20"/>
                <w:color w:val="auto"/>
              </w:rPr>
            </w:pPr>
          </w:p>
        </w:tc>
        <w:tc>
          <w:tcPr>
            <w:tcW w:w="18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7"/>
        </w:trPr>
        <w:tc>
          <w:tcPr>
            <w:tcW w:w="67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9"/>
              </w:rPr>
              <w:t>2022</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fulfill a contract - amortization expense</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bl>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remaining balance of outsourcing assets, net is comprised of fixed assets and software used in connection with outsourcing contracts. These costs are capitalized and depreciated over the shorter of the initial contract life or in accordance with the company’s fixed asset policy.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Note 12 - Financial Instruments and Fair Value Measurements</w:t>
      </w:r>
    </w:p>
    <w:p>
      <w:pPr>
        <w:spacing w:after="0" w:line="11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Due to its foreign operations, the company is exposed to the effects of foreign currency exchange rate fluctuations on the U.S. dollar, principally related to intercompany account balances. The company uses derivative financial instruments to reduce its exposure to market risks from changes in foreign currency exchange rates on such balances. The company enters into foreign exchange forward contracts, generally having maturities of three months or less, which have not been designated as hedging instruments. At September 30, 2022 and December 31, 2021, the notional amount of these contracts was $484.9 million and $552.2 million, respectively. The fair value of these forward contracts is based on quoted prices for similar but not identical financial instruments; as such, the inputs are considered Level 2 inputs.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foreign exchange forward contracts.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September 30,</w:t>
            </w:r>
          </w:p>
        </w:tc>
        <w:tc>
          <w:tcPr>
            <w:tcW w:w="140" w:type="dxa"/>
            <w:vAlign w:val="bottom"/>
          </w:tcPr>
          <w:p>
            <w:pPr>
              <w:spacing w:after="0"/>
              <w:rPr>
                <w:sz w:val="16"/>
                <w:szCs w:val="16"/>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3"/>
        </w:trPr>
        <w:tc>
          <w:tcPr>
            <w:tcW w:w="8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12"/>
        </w:trPr>
        <w:tc>
          <w:tcPr>
            <w:tcW w:w="8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the location and amount of gains and (losses) recognized on foreign exchange forward contracts.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24"/>
                <w:szCs w:val="24"/>
                <w:color w:val="auto"/>
              </w:rPr>
            </w:pPr>
          </w:p>
        </w:tc>
        <w:tc>
          <w:tcPr>
            <w:tcW w:w="18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9"/>
        </w:trPr>
        <w:tc>
          <w:tcPr>
            <w:tcW w:w="6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Pr>
          <w:p>
            <w:pPr>
              <w:spacing w:after="0"/>
              <w:rPr>
                <w:sz w:val="20"/>
                <w:szCs w:val="20"/>
                <w:color w:val="auto"/>
              </w:rPr>
            </w:pPr>
          </w:p>
        </w:tc>
        <w:tc>
          <w:tcPr>
            <w:tcW w:w="18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27"/>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Income Location</w:t>
            </w: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6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Financial assets with carrying values approximating fair value include cash and cash equivalents and accounts receivable. Financial liabilities with carrying values approximating fair value include accounts payable and other liabilities. The carrying amounts of these financial assets and liabilities approximate fair value due to their short maturities. Such financial instruments are not included in the following table that provides information about the estimated fair values of other financial instruments that are not measured at fair value in the consolidated balance sheets as of September 30, 2022 and December 31, 2021.</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September 30, 2022</w:t>
            </w:r>
          </w:p>
        </w:tc>
        <w:tc>
          <w:tcPr>
            <w:tcW w:w="140" w:type="dxa"/>
            <w:vAlign w:val="bottom"/>
          </w:tcPr>
          <w:p>
            <w:pPr>
              <w:spacing w:after="0"/>
              <w:rPr>
                <w:sz w:val="20"/>
                <w:szCs w:val="20"/>
                <w:color w:val="auto"/>
              </w:rPr>
            </w:pPr>
          </w:p>
        </w:tc>
        <w:tc>
          <w:tcPr>
            <w:tcW w:w="19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169"/>
        </w:trPr>
        <w:tc>
          <w:tcPr>
            <w:tcW w:w="69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243"/>
        </w:trPr>
        <w:tc>
          <w:tcPr>
            <w:tcW w:w="6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10"/>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4"/>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6.875% senior secured notes due November 1, 2027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is carried at amortized cost and its estimated fair value is based on market prices classified as Level 2 in the fair value hierarchy.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Note 13 - Goodwill and Intangible Assets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reporting unit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DWS</w:t>
            </w:r>
          </w:p>
        </w:tc>
        <w:tc>
          <w:tcPr>
            <w:tcW w:w="32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CA&amp;I</w:t>
            </w:r>
          </w:p>
        </w:tc>
        <w:tc>
          <w:tcPr>
            <w:tcW w:w="3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ECS</w:t>
            </w:r>
          </w:p>
        </w:tc>
        <w:tc>
          <w:tcPr>
            <w:tcW w:w="32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Other</w:t>
            </w: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184"/>
        </w:trPr>
        <w:tc>
          <w:tcPr>
            <w:tcW w:w="3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Acquisition - Measurement period</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(see Note 3)</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
        </w:trPr>
        <w:tc>
          <w:tcPr>
            <w:tcW w:w="3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the amount of goodwill allocated to reporting units with negative net assets within Other was $10.3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at September 30, 2022 consists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Carrying Amount</w:t>
            </w:r>
          </w:p>
        </w:tc>
        <w:tc>
          <w:tcPr>
            <w:tcW w:w="32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Net Carrying Amount</w:t>
            </w:r>
          </w:p>
        </w:tc>
      </w:tr>
      <w:tr>
        <w:trPr>
          <w:trHeight w:val="223"/>
        </w:trPr>
        <w:tc>
          <w:tcPr>
            <w:tcW w:w="51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Technology </w:t>
            </w:r>
            <w:r>
              <w:rPr>
                <w:rFonts w:ascii="Times New Roman" w:cs="Times New Roman" w:eastAsia="Times New Roman" w:hAnsi="Times New Roman"/>
                <w:sz w:val="23"/>
                <w:szCs w:val="23"/>
                <w:color w:val="auto"/>
                <w:vertAlign w:val="superscript"/>
              </w:rPr>
              <w:t>(i)</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relationships </w:t>
            </w:r>
            <w:r>
              <w:rPr>
                <w:rFonts w:ascii="Times New Roman" w:cs="Times New Roman" w:eastAsia="Times New Roman" w:hAnsi="Times New Roman"/>
                <w:sz w:val="23"/>
                <w:szCs w:val="23"/>
                <w:color w:val="auto"/>
                <w:vertAlign w:val="superscript"/>
              </w:rPr>
              <w:t>(ii)</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30"/>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Marketing </w:t>
            </w:r>
            <w:r>
              <w:rPr>
                <w:rFonts w:ascii="Times New Roman" w:cs="Times New Roman" w:eastAsia="Times New Roman" w:hAnsi="Times New Roman"/>
                <w:sz w:val="23"/>
                <w:szCs w:val="23"/>
                <w:color w:val="auto"/>
                <w:vertAlign w:val="superscript"/>
              </w:rPr>
              <w:t>(ii)</w:t>
            </w: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1"/>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Amortization expense is included within cost of revenue - technology in the consolidated statements of income (loss).</w:t>
      </w:r>
    </w:p>
    <w:p>
      <w:pPr>
        <w:spacing w:after="0" w:line="86" w:lineRule="exact"/>
        <w:rPr>
          <w:rFonts w:ascii="Times New Roman" w:cs="Times New Roman" w:eastAsia="Times New Roman" w:hAnsi="Times New Roman"/>
          <w:sz w:val="20"/>
          <w:szCs w:val="20"/>
          <w:color w:val="auto"/>
          <w:vertAlign w:val="superscript"/>
        </w:rPr>
      </w:pPr>
    </w:p>
    <w:p>
      <w:pPr>
        <w:ind w:right="140" w:firstLine="8"/>
        <w:spacing w:after="0"/>
        <w:tabs>
          <w:tab w:leader="none" w:pos="169"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Amortization expense is included within selling, general and administrative expense in the consolidated statements of income (loss). See Note 3 for measurement period adjustment.</w:t>
      </w:r>
    </w:p>
    <w:p>
      <w:pPr>
        <w:spacing w:after="0" w:line="26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and 2021 amortization expense was $2.4 million and $1.2 million, respectively. For the nine months ended September 30, 2022 and 2021 amortization expense was $7.7 million and $1.7 million, respectively.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amortization relating to acquired intangible assets at September 30, 2022 was estimated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Future Amortization</w:t>
            </w:r>
          </w:p>
        </w:tc>
        <w:tc>
          <w:tcPr>
            <w:tcW w:w="0" w:type="dxa"/>
            <w:vAlign w:val="bottom"/>
          </w:tcPr>
          <w:p>
            <w:pPr>
              <w:spacing w:after="0"/>
              <w:rPr>
                <w:sz w:val="1"/>
                <w:szCs w:val="1"/>
                <w:color w:val="auto"/>
              </w:rPr>
            </w:pPr>
          </w:p>
        </w:tc>
      </w:tr>
      <w:tr>
        <w:trPr>
          <w:trHeight w:val="234"/>
        </w:trPr>
        <w:tc>
          <w:tcPr>
            <w:tcW w:w="3480" w:type="dxa"/>
            <w:vAlign w:val="bottom"/>
            <w:tcBorders>
              <w:bottom w:val="single" w:sz="8" w:color="CCEEFF"/>
            </w:tcBorders>
          </w:tcPr>
          <w:p>
            <w:pPr>
              <w:spacing w:after="0"/>
              <w:rPr>
                <w:sz w:val="20"/>
                <w:szCs w:val="20"/>
                <w:color w:val="auto"/>
              </w:rPr>
            </w:pPr>
          </w:p>
        </w:tc>
        <w:tc>
          <w:tcPr>
            <w:tcW w:w="57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Expense</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57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bottom w:val="single" w:sz="8" w:color="CCEEFF"/>
            </w:tcBorders>
            <w:vMerge w:val="restart"/>
          </w:tcPr>
          <w:p>
            <w:pPr>
              <w:jc w:val="right"/>
              <w:ind w:right="345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48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48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Note 14 - Debt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is comprised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September 30, 2022</w:t>
            </w: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December 31, 2021</w:t>
            </w:r>
          </w:p>
        </w:tc>
      </w:tr>
      <w:tr>
        <w:trPr>
          <w:trHeight w:val="172"/>
        </w:trPr>
        <w:tc>
          <w:tcPr>
            <w:tcW w:w="804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6.875% senior secured notes due November 1, 2027 (Face value of $485.0 million less unamortized issuance</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243"/>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$6.0 and $6.9 million at September 30, 2022 and at December 31, 2021)</w:t>
            </w: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r>
      <w:tr>
        <w:trPr>
          <w:trHeight w:val="229"/>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current maturities</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5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w:t>
            </w: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See Note 12 for the fair value of the notes.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 due 2027</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has $485.0 million aggregate principal amount of its 6.875% Senior Secured Notes due 2027 (the 2027 Notes). The 2027 Notes pay interest semiannually on May 1 and November 1 and will mature on November 1, 2027, unless earlier repurchased or redeemed. The 2027 Notes are fully and unconditionally guaranteed on a senior secured basis by Unisys Holding Corporation, Unisys NPL, Inc., Unisys AP Investment Company I, CompuGain LLC and CompuGain Public Services, LLC, each of which is a U.S. corporation or limited liability company that is directly or indirectly owned by the company (the subsidiary guarantors).</w:t>
      </w:r>
    </w:p>
    <w:p>
      <w:pPr>
        <w:spacing w:after="0" w:line="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2027 Notes and the related guarantees rank equally in right of payment with all of the existing and future senior debt of the company and its subsidiary guarantors and senior in right of payment to any future subordinated debt of the company and its subsidiary guarantors. The 2027 Notes and the related guarantees are structurally subordinated to all existing and future liabilities (including preferred stock, trade payables and pension liabilities) of the subsidiaries of the company that are not subsidiary guarantors. The 2027 Notes and the guarantees are secured by liens on substantially all assets of the company and the subsidiary guarantors, other than certain excluded assets (the collateral). The liens securing the 2027 Notes on certain ABL collateral are subordinated to the liens on ABL collateral in favor of the ABL secured parties and, in the future, the liens securing the 2027 Notes may be subordinated to liens on the collateral securing certain permitted first lien debt, subject to certain limitations and permitted liens.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November 1, 2023, the company may, at its option, redeem some or all of the 2027 Notes at any time, at a price equal to 100% of the principal amount of the 2027 Notes redeemed plus a “make-whole” premium, plus accrued and unpaid interest, if any. The company may also redeem, at its option, up to 40% of the 2027 Notes at any time prior to November 1, 2023, using the proceeds of certain equity offerings at a redemption price of 106.875% of the principal amount thereof, plus accrued and unpaid interest, if any. On or after November 1, 2023, the company may, on any one or more occasions, redeem all or a part of the 2027 Notes at specified redemption premiums, declining to par for any redemptions on or after November 1, 2025.</w:t>
      </w:r>
    </w:p>
    <w:p>
      <w:pPr>
        <w:spacing w:after="0" w:line="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indenture contains covenants that limit the ability of the company and its restricted subsidiaries to, among other things: (i) incur additional indebtedness and guarantee indebtedness; (ii) pay dividends or make other distributions or repurchase or redeem its capital stock; (iii) prepay, redeem or repurchase certain debt; (iv) make certain prepayments in respect of pension obligations; (v) issue certain preferred stock or similar equity securities; (vi) make loans and investments (including investments by the company and subsidiary guarantors in subsidiaries that are not guarantors); (vii) sell assets; (viii) create or incur liens; (ix) enter into transactions with affiliates; (x) enter into agreements restricting its subsidiaries’ ability to pay dividends; and (xi) consolidate, merge or sell all or substantially all of its assets. These covenants are subject to several important limitations and exceptions.</w:t>
      </w:r>
    </w:p>
    <w:p>
      <w:pPr>
        <w:spacing w:after="0" w:line="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the company experiences certain kinds of changes of control (as defined in the indenture), it will be required to offer to repurchase the 2027 Notes at 101% of the principal amount of the 2027 Notes, plus accrued and unpaid interest as of the repurchase date, if any. In addition, if the company sells assets, under certain circumstances it must apply the proceeds towards an offer to repurchase the 2027 Notes at a price equal to par plus accrued and unpaid interest, if any.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8" w:name="page19"/>
    <w:bookmarkEnd w:id="18"/>
    <w:p>
      <w:pPr>
        <w:ind w:right="20"/>
        <w:spacing w:after="0" w:line="282" w:lineRule="auto"/>
        <w:rPr>
          <w:sz w:val="20"/>
          <w:szCs w:val="20"/>
          <w:color w:val="auto"/>
        </w:rPr>
      </w:pPr>
      <w:r>
        <w:rPr>
          <w:rFonts w:ascii="Times New Roman" w:cs="Times New Roman" w:eastAsia="Times New Roman" w:hAnsi="Times New Roman"/>
          <w:sz w:val="18"/>
          <w:szCs w:val="18"/>
          <w:color w:val="auto"/>
        </w:rPr>
        <w:t>The indenture also provides for events of default, which, if any of them occur, would permit or require the principal, premium, if any, interest and any other monetary obligations on all the then outstanding 2027 Notes to be due and payable immediately.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related to the 2027 Notes is comprised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1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5980" w:type="dxa"/>
            <w:vAlign w:val="bottom"/>
          </w:tcPr>
          <w:p>
            <w:pPr>
              <w:spacing w:after="0"/>
              <w:rPr>
                <w:sz w:val="20"/>
                <w:szCs w:val="20"/>
                <w:color w:val="auto"/>
              </w:rPr>
            </w:pPr>
          </w:p>
        </w:tc>
        <w:tc>
          <w:tcPr>
            <w:tcW w:w="21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September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7"/>
        </w:trPr>
        <w:tc>
          <w:tcPr>
            <w:tcW w:w="59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coupon</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2021</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March 3, 2021, the company completed the conversion of $84.2 million aggregate principal amount of the 2021 Notes that remained outstanding for a combination of cash and shares of the company’s common stock. As a result of the conversion of the outstanding 2021 Notes, the company delivered to the holders (i) aggregate cash payments totaling approximately $86.5 million, which included an aggregate cash payment for outstanding principal of approximately $84.2 million, an aggregate cash payment for accrued interest of approximately $2.3 million and a nominal cash payment in lieu of fractional shares, and (ii) the issuance of 4,537,123 shares of the company’s common stock. The issuance of the common stock was made in exchange for the 2021 Notes pursuant to an exemption from the registration requirements provided by Section 3(a)(9) of the Securities Act of 1933, as amended.</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also received 1,251,460 shares of its common stock, now held in treasury stock, from the settlement of the capped call transactions that the company had entered into with the initial purchasers and/or affiliates of the initial purchasers of the 2021 Notes in connection with the issuance of the 2021 Notes. As a result, the net number of outstanding shares of the company’s common stock following the conversion of the 2021 Notes increased by 3,285,663 shares.</w:t>
      </w:r>
    </w:p>
    <w:p>
      <w:pPr>
        <w:sectPr>
          <w:pgSz w:w="11900" w:h="16838" w:orient="portrait"/>
          <w:cols w:equalWidth="0" w:num="1">
            <w:col w:w="11240"/>
          </w:cols>
          <w:pgMar w:left="320" w:top="1093" w:right="339" w:bottom="1440" w:gutter="0" w:footer="0" w:header="0"/>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related to the 2021 Notes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Contractual interest coupon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September 30, 2021</w:t>
            </w:r>
          </w:p>
        </w:tc>
      </w:tr>
      <w:tr>
        <w:trPr>
          <w:trHeight w:val="222"/>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481" w:lineRule="exact"/>
        <w:rPr>
          <w:sz w:val="20"/>
          <w:szCs w:val="20"/>
          <w:color w:val="auto"/>
        </w:rPr>
      </w:pPr>
    </w:p>
    <w:p>
      <w:pPr>
        <w:sectPr>
          <w:pgSz w:w="11900" w:h="16838" w:orient="portrait"/>
          <w:cols w:equalWidth="0" w:num="2">
            <w:col w:w="8420" w:space="720"/>
            <w:col w:w="2100"/>
          </w:cols>
          <w:pgMar w:left="320" w:top="1093" w:right="339" w:bottom="1440" w:gutter="0" w:footer="0" w:header="0"/>
          <w:type w:val="continuous"/>
        </w:sect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has a $27.7 million Installment Payment Agreement (IPA) maturing on December 20, 2023 with a syndicate of financial institutions to finance the acquisition of certain software licenses necessary for the provision of services to a client. Interest accrues at an annual rate of 7.0% and the company is required to make monthly principal and interest payments on each agreement in arrears. At September 30, 2022, $5.4 million was reported in current maturities of long-term debt.</w:t>
      </w:r>
    </w:p>
    <w:p>
      <w:pPr>
        <w:spacing w:after="0" w:line="5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has a vendor agreement in the amount of $19.3 million to finance the acquisition of certain software licenses used to provide services to our clients and for its own internal use. Interest accrues at an annual rate of 5.47% and the company is required to make annual principal and interest payments in advance with the last payment due on March 1, 2024. At September 30, 2022, $4.0 million was reported in current maturities of long-term debt.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Based Lending (ABL) Credit Facility</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has a secured revolving credit facility (the Amended and Restated ABL Credit Facility) that matures on October 29, 2025 and provides for revolving loans and letters of credit up to an aggregate amount of $145.0 million (with a limit on letters of credit of $40.0 million), with an accordion feature provision allowing for the aggregate amount available under the credit facility to be increased up to $175.0 million upon the satisfaction of certain conditions specified in the Amended and Restated ABL Credit Facility. Availability under the credit facility is subject to a borrowing base calculated by reference to the company’s receivables. At September 30, 2022, the company had no borrowings and $6.3 million of letters of credit outstanding, and availability under the facility was $66.3 million net of letters of credit issued.</w:t>
      </w:r>
    </w:p>
    <w:p>
      <w:pPr>
        <w:spacing w:after="0" w:line="6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Amended and Restated ABL Credit Facility is subject to a springing maturity, under which the Amended and Restated ABL Credit Facility will immediately mature 91 days prior to any date on which contributions to pension funds in the United States in an amount in excess of $100.0 million are required to be paid unless the company is able to meet certain conditions, including that the company has the liquidity (as defined in the Amended and Restated ABL Credit Facility) to cash settle the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9" w:name="page20"/>
    <w:bookmarkEnd w:id="19"/>
    <w:p>
      <w:pPr>
        <w:ind w:right="560"/>
        <w:spacing w:after="0" w:line="312" w:lineRule="auto"/>
        <w:rPr>
          <w:sz w:val="20"/>
          <w:szCs w:val="20"/>
          <w:color w:val="auto"/>
        </w:rPr>
      </w:pPr>
      <w:r>
        <w:rPr>
          <w:rFonts w:ascii="Times New Roman" w:cs="Times New Roman" w:eastAsia="Times New Roman" w:hAnsi="Times New Roman"/>
          <w:sz w:val="17"/>
          <w:szCs w:val="17"/>
          <w:color w:val="auto"/>
        </w:rPr>
        <w:t>amount of such pension payments, no default or event of default has occurred under the Amended and Restated ABL Credit Facility, the company’s liquidity is above $130.0 million and the company is in compliance with the then applicable fixed charge coverage ratio on a pro forma basis.</w:t>
      </w:r>
    </w:p>
    <w:p>
      <w:pPr>
        <w:spacing w:after="0" w:line="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Amended and Restated ABL Credit Facility is guaranteed by the subsidiary guarantors and any future material domestic subsidiaries. The facility is secured by the assets of the company and the subsidiary guarantors, other than certain excluded assets, under a security agreement entered into by the company and the subsidiary guarantors in favor of JPMorgan Chase Bank, N.A., as agent for the lenders under the credit facility.</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is required to maintain a minimum fixed charge coverage ratio if the availability under the Amended and Restated ABL Credit Facility falls below the greater of 10% of the lenders’ commitments under the facility and $14.5 million.</w:t>
      </w:r>
    </w:p>
    <w:p>
      <w:pPr>
        <w:spacing w:after="0" w:line="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Amended and Restated ABL Credit Facility contains customary representations and warranties, including, but not limited to, that there has been no material adverse change in the company’s business, properties, operations or financial condition. The Amended and Restated ABL Credit Facility includes restrictions on the ability of the company and its subsidiaries to, among other things, incur other debt or liens, dispose of assets and make acquisitions, loans and investments, repurchase its equity, and prepay other debt. These restrictions are subject to several important limitations and exceptions. Events of default include non-payment, failure to comply with covenants, materially incorrect representations and warranties, change of control and default under other debt aggregating at least $50.0 million, subject to relevant cure periods, as applicable.</w:t>
      </w:r>
    </w:p>
    <w:p>
      <w:pPr>
        <w:spacing w:after="0" w:line="7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At September 30, 2022, the company has met all covenants and conditions under its various lending and funding agreements. For at least the next 12 months, the company expects to continue to meet these covenants and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15 - Litigation and Contingencies</w:t>
      </w:r>
    </w:p>
    <w:p>
      <w:pPr>
        <w:spacing w:after="0" w:line="11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There are various lawsuits, claims, investigations and proceedings that have been brought or asserted against the company, which arise in the ordinary course of business, including actions with respect to commercial and government contracts, labor and employment, employee benefits, environmental matters, intellectual property and non-income tax matters. The company records a provision for these matters when it is both probable that a liability has been incurred and the amount of the loss can be reasonably estimated. Any provisions are reviewed at least quarterly and are adjusted to reflect the impact and status of settlements, rulings, advice of counsel and other information and events pertinent to a particular matter.</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believes that it has valid defenses with respect to legal matters pending against it. Based on its experience, the company also believes that the damage amounts claimed in the lawsuits disclosed below are not a meaningful indicator of the company’s potential liability. Litigation is inherently unpredictable, however, and it is possible that the company’s results of operations or cash flow could be materially affected in any particular period by the resolution of one or more of the legal matters pending against it.</w:t>
      </w:r>
    </w:p>
    <w:p>
      <w:pPr>
        <w:spacing w:after="0" w:line="7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company’s Brazilian operations, along with those of many other companies doing business in Brazil, are involved in various litigation matters, including numerous governmental assessments related to indirect and other taxes, as well as disputes associated with former employees and contract labor. The tax-related matters pertain to value-added taxes, customs, duties, sales and other non-income-related tax exposures. The labor-related matters include claims related to compensation. The company believes that appropriate accruals have been established for such matters based on information currently available. At September 30, 2022, excluding those matters that have been assessed by management as being remote as to the likelihood of ultimately resulting in a loss, the amount related to unreserved tax-related matters, inclusive of any related interest, is estimated to be up to approximately $103.3 million.</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11, 2022, a purported stockholder of the company filed a putative securities class action complaint in the United States District Court for the Eastern District of Pennsylvania against the company and certain of its current officers, alleging violations of the Securities Exchange Act of 1934, as amended, based on allegedly false or misleading statements related to projections and certain other statements positively characterizing the company’s momentum, business, prospects and operations, and the effectiveness of the company’s internal control over financial reporting and the company’s disclosure controls and procedures. The plaintiff seeks an award of compensatory damages, among other relief, and costs and attorneys’ and experts’ fees.</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With respect to the specific legal proceedings and claims described above, except as otherwise noted, either (i) the amount or range of possible losses in excess of amounts accrued, if any, is not reasonably estimable or (ii) the company believes that the amount or range of possible losses in excess of amounts accrued that are estimable would not be material.</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Litigation is inherently unpredictable and unfavorable resolutions could occur. Accordingly, it is possible that an adverse outcome from such matters could exceed the amounts accrued in an amount that could be material to the company’s financial condition, results of operations and cash flows in any particular reporting period.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0" w:name="page21"/>
    <w:bookmarkEnd w:id="20"/>
    <w:p>
      <w:pPr>
        <w:ind w:right="40"/>
        <w:spacing w:after="0" w:line="282" w:lineRule="auto"/>
        <w:rPr>
          <w:sz w:val="20"/>
          <w:szCs w:val="20"/>
          <w:color w:val="auto"/>
        </w:rPr>
      </w:pPr>
      <w:r>
        <w:rPr>
          <w:rFonts w:ascii="Times New Roman" w:cs="Times New Roman" w:eastAsia="Times New Roman" w:hAnsi="Times New Roman"/>
          <w:sz w:val="18"/>
          <w:szCs w:val="18"/>
          <w:color w:val="auto"/>
        </w:rPr>
        <w:t>Notwithstanding that the ultimate results of the lawsuits, claims, investigations and proceedings that have been brought or asserted against the company are not currently determinable, the company believes that at September 30, 2022, it has adequate provisions for any such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16 - Accumulated Other Comprehensive Loss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auto"/>
                <w:w w:val="88"/>
              </w:rPr>
              <w:t>Total</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right"/>
              <w:ind w:right="170"/>
              <w:spacing w:after="0"/>
              <w:rPr>
                <w:sz w:val="20"/>
                <w:szCs w:val="20"/>
                <w:color w:val="auto"/>
              </w:rPr>
            </w:pPr>
            <w:r>
              <w:rPr>
                <w:rFonts w:ascii="Times New Roman" w:cs="Times New Roman" w:eastAsia="Times New Roman" w:hAnsi="Times New Roman"/>
                <w:sz w:val="16"/>
                <w:szCs w:val="16"/>
                <w:color w:val="auto"/>
              </w:rPr>
              <w:t>Translation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rPr>
              <w:t>Postretirement</w:t>
            </w:r>
          </w:p>
        </w:tc>
        <w:tc>
          <w:tcPr>
            <w:tcW w:w="0" w:type="dxa"/>
            <w:vAlign w:val="bottom"/>
          </w:tcPr>
          <w:p>
            <w:pPr>
              <w:spacing w:after="0"/>
              <w:rPr>
                <w:sz w:val="1"/>
                <w:szCs w:val="1"/>
                <w:color w:val="auto"/>
              </w:rPr>
            </w:pPr>
          </w:p>
        </w:tc>
      </w:tr>
      <w:tr>
        <w:trPr>
          <w:trHeight w:val="213"/>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11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Plans</w:t>
            </w:r>
          </w:p>
        </w:tc>
        <w:tc>
          <w:tcPr>
            <w:tcW w:w="0" w:type="dxa"/>
            <w:vAlign w:val="bottom"/>
          </w:tcPr>
          <w:p>
            <w:pPr>
              <w:spacing w:after="0"/>
              <w:rPr>
                <w:sz w:val="1"/>
                <w:szCs w:val="1"/>
                <w:color w:val="auto"/>
              </w:rPr>
            </w:pPr>
          </w:p>
        </w:tc>
      </w:tr>
      <w:tr>
        <w:trPr>
          <w:trHeight w:val="226"/>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 are as follows:</w:t>
            </w: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4"/>
                <w:szCs w:val="24"/>
                <w:color w:val="auto"/>
              </w:rPr>
            </w:pPr>
          </w:p>
        </w:tc>
        <w:tc>
          <w:tcPr>
            <w:tcW w:w="2040" w:type="dxa"/>
            <w:vAlign w:val="bottom"/>
            <w:gridSpan w:val="9"/>
          </w:tcPr>
          <w:p>
            <w:pPr>
              <w:jc w:val="center"/>
              <w:ind w:right="1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9"/>
        </w:trPr>
        <w:tc>
          <w:tcPr>
            <w:tcW w:w="6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9"/>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27"/>
        </w:trPr>
        <w:tc>
          <w:tcPr>
            <w:tcW w:w="6860" w:type="dxa"/>
            <w:vAlign w:val="bottom"/>
          </w:tcPr>
          <w:p>
            <w:pPr>
              <w:spacing w:after="0"/>
              <w:rPr>
                <w:sz w:val="19"/>
                <w:szCs w:val="19"/>
                <w:color w:val="auto"/>
              </w:rPr>
            </w:pPr>
          </w:p>
        </w:tc>
        <w:tc>
          <w:tcPr>
            <w:tcW w:w="1000" w:type="dxa"/>
            <w:vAlign w:val="bottom"/>
            <w:gridSpan w:val="3"/>
          </w:tcPr>
          <w:p>
            <w:pPr>
              <w:jc w:val="right"/>
              <w:ind w:right="231"/>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9"/>
                <w:szCs w:val="19"/>
                <w:color w:val="auto"/>
              </w:rPr>
            </w:pPr>
          </w:p>
        </w:tc>
        <w:tc>
          <w:tcPr>
            <w:tcW w:w="102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Adjustment for substantial completion of liquidation of foreign subsidiaries</w:t>
            </w:r>
            <w:r>
              <w:rPr>
                <w:rFonts w:ascii="Times New Roman" w:cs="Times New Roman" w:eastAsia="Times New Roman" w:hAnsi="Times New Roman"/>
                <w:sz w:val="23"/>
                <w:szCs w:val="23"/>
                <w:color w:val="auto"/>
                <w:vertAlign w:val="superscript"/>
              </w:rPr>
              <w:t>(i)</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c>
          <w:tcPr>
            <w:tcW w:w="4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4.8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Postretirement plans</w:t>
            </w:r>
            <w:r>
              <w:rPr>
                <w:rFonts w:ascii="Times New Roman" w:cs="Times New Roman" w:eastAsia="Times New Roman" w:hAnsi="Times New Roman"/>
                <w:sz w:val="23"/>
                <w:szCs w:val="23"/>
                <w:color w:val="auto"/>
                <w:vertAlign w:val="superscript"/>
              </w:rPr>
              <w:t>(ii)</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losses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2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vertAlign w:val="superscript"/>
        </w:rPr>
        <w:t>(i)</w:t>
      </w:r>
      <w:r>
        <w:rPr>
          <w:rFonts w:ascii="Times New Roman" w:cs="Times New Roman" w:eastAsia="Times New Roman" w:hAnsi="Times New Roman"/>
          <w:sz w:val="16"/>
          <w:szCs w:val="16"/>
          <w:color w:val="auto"/>
        </w:rPr>
        <w:t xml:space="preserve"> Reported in other (expense), net in the consolidated statements of income (loss).</w:t>
      </w:r>
    </w:p>
    <w:p>
      <w:pPr>
        <w:ind w:left="20"/>
        <w:spacing w:after="0"/>
        <w:rPr>
          <w:sz w:val="20"/>
          <w:szCs w:val="20"/>
          <w:color w:val="auto"/>
        </w:rPr>
      </w:pPr>
      <w:r>
        <w:rPr>
          <w:rFonts w:ascii="Times New Roman" w:cs="Times New Roman" w:eastAsia="Times New Roman" w:hAnsi="Times New Roman"/>
          <w:sz w:val="21"/>
          <w:szCs w:val="21"/>
          <w:color w:val="auto"/>
          <w:vertAlign w:val="superscript"/>
        </w:rPr>
        <w:t>(ii)</w:t>
      </w:r>
      <w:r>
        <w:rPr>
          <w:rFonts w:ascii="Times New Roman" w:cs="Times New Roman" w:eastAsia="Times New Roman" w:hAnsi="Times New Roman"/>
          <w:sz w:val="16"/>
          <w:szCs w:val="16"/>
          <w:color w:val="auto"/>
        </w:rPr>
        <w:t>These items are included in net periodic postretirement cost (see Note 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17 - Supplemental Cash Flow Information</w:t>
      </w:r>
    </w:p>
    <w:p>
      <w:pPr>
        <w:spacing w:after="0" w:line="32"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color w:val="auto"/>
        </w:rPr>
        <w:t>Nine Months Ended</w:t>
      </w:r>
    </w:p>
    <w:p>
      <w:pPr>
        <w:jc w:val="center"/>
        <w:ind w:left="8580"/>
        <w:spacing w:after="0"/>
        <w:rPr>
          <w:sz w:val="20"/>
          <w:szCs w:val="20"/>
          <w:color w:val="auto"/>
        </w:rPr>
      </w:pPr>
      <w:r>
        <w:rPr>
          <w:rFonts w:ascii="Times New Roman" w:cs="Times New Roman" w:eastAsia="Times New Roman" w:hAnsi="Times New Roman"/>
          <w:sz w:val="18"/>
          <w:szCs w:val="18"/>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bl>
    <w:p>
      <w:pPr>
        <w:spacing w:after="0" w:line="238" w:lineRule="exact"/>
        <w:rPr>
          <w:sz w:val="20"/>
          <w:szCs w:val="20"/>
          <w:color w:val="auto"/>
        </w:rPr>
      </w:pPr>
    </w:p>
    <w:p>
      <w:pPr>
        <w:jc w:val="both"/>
        <w:ind w:right="60"/>
        <w:spacing w:after="0" w:line="273"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to the total of the amounts shown in the consolidated statements of cash flows.</w:t>
      </w:r>
    </w:p>
    <w:tbl>
      <w:tblPr>
        <w:tblLayout w:type="fixed"/>
        <w:tblInd w:w="0" w:type="dxa"/>
        <w:tblCellMar>
          <w:top w:w="0" w:type="dxa"/>
          <w:left w:w="0" w:type="dxa"/>
          <w:bottom w:w="0" w:type="dxa"/>
          <w:right w:w="0" w:type="dxa"/>
        </w:tblCellMar>
      </w:tblPr>
      <w:tr>
        <w:trPr>
          <w:trHeight w:val="182"/>
        </w:trPr>
        <w:tc>
          <w:tcPr>
            <w:tcW w:w="8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5"/>
                <w:szCs w:val="15"/>
                <w:color w:val="auto"/>
              </w:rPr>
            </w:pPr>
          </w:p>
        </w:tc>
        <w:tc>
          <w:tcPr>
            <w:tcW w:w="12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8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27"/>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consolidated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540" w:right="1820" w:hanging="5525"/>
        <w:spacing w:after="0" w:line="516" w:lineRule="auto"/>
        <w:rPr>
          <w:sz w:val="20"/>
          <w:szCs w:val="20"/>
          <w:color w:val="auto"/>
        </w:rPr>
      </w:pPr>
      <w:r>
        <w:rPr>
          <w:rFonts w:ascii="Times New Roman" w:cs="Times New Roman" w:eastAsia="Times New Roman" w:hAnsi="Times New Roman"/>
          <w:sz w:val="18"/>
          <w:szCs w:val="18"/>
          <w:color w:val="auto"/>
        </w:rPr>
        <w:t>Cash and cash equivalents subject to contractual restrictions and are therefore not readily available are classified as restricted cash.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Note 18 - Segment Information</w:t>
      </w:r>
    </w:p>
    <w:p>
      <w:pPr>
        <w:spacing w:after="0" w:line="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Effective January 1, 2022, the company changed the grouping of certain immaterial revenue streams. As a result, certain prior period segment revenue as well as the related cost of sales amounts have been reclassified to be comparable to the current period’s presentation. In addition, during the second quarter of 2022, the company renamed its Cloud and Infrastructure Solutions segment as Cloud, Applications &amp; Infrastructure Solutions to better represent the nature of the segment’s operations. There was no change to the composition of the segment or its historical results.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segments are as follows:</w:t>
      </w:r>
    </w:p>
    <w:p>
      <w:pPr>
        <w:spacing w:after="0" w:line="9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Workplace Solutions (DWS), which provides modern and traditional workplace solutions;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Applications &amp; Infrastructure Solutions (CA&amp;I), which provides digital platform, applications, and infrastructure solutions; and</w:t>
      </w:r>
    </w:p>
    <w:p>
      <w:pPr>
        <w:spacing w:after="0" w:line="90"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Computing Solutions (ECS), which provides solutions that harness secure, continuous high-intensity computing and enable digital services through software-defined operating environments.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accounting policies of each segment are the same as those followed by the company as a whole. Intersegment sales and transfers are priced as if the sales or transfers were to third parties. Accordingly, the ECS segment records intersegment revenue and manufacturing profit on hardware and software shipments to customers under contracts of other segments. These segments, in turn, record customer revenue and marketing profits on such shipments of company hardware and software to customers. In the company’s consolidated statements of income (loss), the manufacturing costs of products sourced from the ECS segment and sold to other segments’ customers are reported in cost of revenue for these other segments. Also included in the ECS segment’s sales and gross profit are sales of hardware and software sold to other segments for internal use in their engagements. The amount of such profit included in gross profit of the ECS segment for the three and nine months ended September 30, 2021 was $0.3 million and $1.4 million, respectively. The sales and profit on these transactions are eliminated in consolidation.</w:t>
      </w:r>
    </w:p>
    <w:p>
      <w:pPr>
        <w:spacing w:after="0" w:line="8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company evaluates segment performance based on gross profit exclusive of the service cost component of postretirement income or expense, restructuring charges, amortization of purchased intangibles and unusual and nonrecurring items, which are included in other gross profit.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A summary of the company’s operations by segment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Segments</w:t>
            </w:r>
          </w:p>
        </w:tc>
        <w:tc>
          <w:tcPr>
            <w:tcW w:w="30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DWS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CA&amp;I</w:t>
            </w:r>
          </w:p>
        </w:tc>
        <w:tc>
          <w:tcPr>
            <w:tcW w:w="320" w:type="dxa"/>
            <w:vAlign w:val="bottom"/>
          </w:tcPr>
          <w:p>
            <w:pPr>
              <w:spacing w:after="0"/>
              <w:rPr>
                <w:sz w:val="18"/>
                <w:szCs w:val="18"/>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6"/>
                <w:szCs w:val="16"/>
                <w:color w:val="auto"/>
              </w:rPr>
              <w:t>ECS</w:t>
            </w:r>
          </w:p>
        </w:tc>
        <w:tc>
          <w:tcPr>
            <w:tcW w:w="0" w:type="dxa"/>
            <w:vAlign w:val="bottom"/>
          </w:tcPr>
          <w:p>
            <w:pPr>
              <w:spacing w:after="0"/>
              <w:rPr>
                <w:sz w:val="1"/>
                <w:szCs w:val="1"/>
                <w:color w:val="auto"/>
              </w:rPr>
            </w:pPr>
          </w:p>
        </w:tc>
      </w:tr>
      <w:tr>
        <w:trPr>
          <w:trHeight w:val="212"/>
        </w:trPr>
        <w:tc>
          <w:tcPr>
            <w:tcW w:w="54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9"/>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Segments</w:t>
            </w:r>
          </w:p>
        </w:tc>
        <w:tc>
          <w:tcPr>
            <w:tcW w:w="300" w:type="dxa"/>
            <w:vAlign w:val="bottom"/>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DWS</w:t>
            </w:r>
          </w:p>
        </w:tc>
        <w:tc>
          <w:tcPr>
            <w:tcW w:w="30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CA&amp;I</w:t>
            </w:r>
          </w:p>
        </w:tc>
        <w:tc>
          <w:tcPr>
            <w:tcW w:w="320" w:type="dxa"/>
            <w:vAlign w:val="bottom"/>
          </w:tcPr>
          <w:p>
            <w:pPr>
              <w:spacing w:after="0"/>
              <w:rPr>
                <w:sz w:val="24"/>
                <w:szCs w:val="24"/>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6"/>
                <w:szCs w:val="16"/>
                <w:color w:val="auto"/>
              </w:rPr>
              <w:t>ECS</w:t>
            </w:r>
          </w:p>
        </w:tc>
        <w:tc>
          <w:tcPr>
            <w:tcW w:w="0" w:type="dxa"/>
            <w:vAlign w:val="bottom"/>
          </w:tcPr>
          <w:p>
            <w:pPr>
              <w:spacing w:after="0"/>
              <w:rPr>
                <w:sz w:val="1"/>
                <w:szCs w:val="1"/>
                <w:color w:val="auto"/>
              </w:rPr>
            </w:pPr>
          </w:p>
        </w:tc>
      </w:tr>
      <w:tr>
        <w:trPr>
          <w:trHeight w:val="213"/>
        </w:trPr>
        <w:tc>
          <w:tcPr>
            <w:tcW w:w="54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399.3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309.4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480" w:type="dxa"/>
            <w:vAlign w:val="bottom"/>
          </w:tcPr>
          <w:p>
            <w:pPr>
              <w:spacing w:after="0"/>
              <w:rPr>
                <w:sz w:val="24"/>
                <w:szCs w:val="24"/>
                <w:color w:val="auto"/>
              </w:rPr>
            </w:pPr>
          </w:p>
        </w:tc>
        <w:tc>
          <w:tcPr>
            <w:tcW w:w="1360" w:type="dxa"/>
            <w:vAlign w:val="bottom"/>
            <w:gridSpan w:val="2"/>
          </w:tcPr>
          <w:p>
            <w:pPr>
              <w:jc w:val="right"/>
              <w:ind w:right="10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Presented below is a reconciliation of total segment revenue to total consolidated revenue:</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10"/>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18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18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7"/>
        </w:trPr>
        <w:tc>
          <w:tcPr>
            <w:tcW w:w="69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 of intercompany revenue</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1,515.1</w:t>
            </w:r>
          </w:p>
        </w:tc>
      </w:tr>
      <w:tr>
        <w:trPr>
          <w:trHeight w:val="21"/>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a reconciliation of total segment gross profit to consolidated loss before income taxes: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7"/>
                <w:szCs w:val="17"/>
                <w:color w:val="auto"/>
              </w:rPr>
            </w:pPr>
          </w:p>
        </w:tc>
        <w:tc>
          <w:tcPr>
            <w:tcW w:w="18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18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7"/>
        </w:trPr>
        <w:tc>
          <w:tcPr>
            <w:tcW w:w="69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gross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gross profit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gross profit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earnings (loss) before income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r>
      <w:tr>
        <w:trPr>
          <w:trHeight w:val="21"/>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Other revenue and other gross profit are comprised of an aggregation of a number of immaterial business activities that principally provide for the management of processes and functions for clients in select industries, helping them improve performance and reduce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information about the company’s revenue, which is principally based on location of the selling organization, is presented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8"/>
                <w:szCs w:val="18"/>
                <w:color w:val="auto"/>
              </w:rPr>
            </w:pPr>
          </w:p>
        </w:tc>
        <w:tc>
          <w:tcPr>
            <w:tcW w:w="18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18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69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foreign</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1,515.1</w:t>
            </w: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19 - Remaining Performance Obligations</w:t>
      </w:r>
    </w:p>
    <w:p>
      <w:pPr>
        <w:spacing w:after="0" w:line="11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firm orders for which work has not been performed and excludes (1) contracts with an original expected length of one year or less and (2) contracts for which the company recognizes revenue at the amount to which it has the right to invoice for services performed. At September 30, 2022, the company had approximately $0.5 billion of remaining performance obligations of which approximately 9% is estimated to be recognized as revenue by the end of 2022, 34% by the end of 2023, 24% by the end of 2024, 13% by the end of 2025 and 20% thereafter.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20 - Subsequent Event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quarter-end and through the date of this filing, the company has experienced a significant decline in its market capitalization, from</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$0.5 billion to $0.3 billion. Management is evaluating whether this decline represents a triggering event for assessing the goodwill and intangible asset balances for impairment in the fourth quarter of 2022. As of September 30, 2022, the balances of the company’s goodwill and intangible asset were $286.2 million and $54.8 million, respectively.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5"/>
          <w:szCs w:val="25"/>
          <w:b w:val="1"/>
          <w:bCs w:val="1"/>
          <w:color w:val="auto"/>
        </w:rPr>
        <w:t>Item 2. Management’s Discussion and Analysis of Financial Condition and Results of Operations</w:t>
      </w:r>
    </w:p>
    <w:p>
      <w:pPr>
        <w:spacing w:after="0" w:line="1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discussion and analysis of the company’s financial condition and results of operations should be read in conjunction with the consolidated financial statements and the related notes included elsewhere in this quarterly report. In this discussion and analysis of the company’s financial condition and results of operations, the company has included information that may constitute “forward-looking” statements, as defined in the Private Securities Litigation Reform Act of 1995. Forward-looking statements provide current expectations of future events and include any statement that does not directly relate to any historical or current fact. Words such as “anticipates,” “believes,” “expects,” “intends,” “plans,” “projects” and similar expressions may identify such forward-looking statements. All forward-looking statements rely on assumptions and are subject to risks, uncertainties and other factors that could cause the company’s actual results to differ materially from expectations. Factors that could affect future results include, but are not limited to, those discussed under “Risk Factors” in Part II, Item 1A. Any forward-looking statement speaks only as of the date on which that statement is made. The company assumes no obligation to update any forward-looking statement to reflect events or circumstances that occur after the date on which the statement is made.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the company reported net loss attributable to Unisys Corporation of $40.1 million, or $0.59 per diluted share, compared with a loss of $18.7 million, or $0.28 per diluted share, for the three months ended September 30, 2021.</w:t>
      </w:r>
    </w:p>
    <w:p>
      <w:pPr>
        <w:spacing w:after="0" w:line="4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the company reported net loss attributable to Unisys Corporation of $114.5 million, or $1.69 per diluted share, compared with a loss of $317.3 million, or $4.79 per diluted share, for the nine months ended September 30, 2021. Included in the loss for the nine months ended September 30, 2021 were pension plan settlement losses net of tax of $317.0 million.</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February 2022, Russian military forces launched significant military action against Ukraine. In response to this action, many governments around the world, including the U.S., imposed several financial and economic sanctions against Russia. While this conflict has not had a material impact to the company’s business, financial condition, or results of operation, the direct and indirect impacts of this evolving situation and its effect on global economies in future periods are difficult to predict.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compared with the three months ended September 30,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three months ended September 30, 2022 was $461.2 million compared with $488.0 million for the three months of 2021, a decrease of</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5.5% from the prior year. Foreign currency fluctuations had a 6 percentage-point negative impact on revenue in the current period compared with the year-ago period.</w:t>
      </w:r>
    </w:p>
    <w:p>
      <w:pPr>
        <w:spacing w:after="0" w:line="7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U.S. revenue increased 9.3% in the current period compared with the year-ago period. International revenue decreased 15.0% in the current period compared with the prior-year period principally due to decreases in Europe, Asia/Pacific and Latin America. Foreign currency had a 9 percentage-point negative impact on international revenue in the three months ended September 30, 2022 compared with the three months ended September 30, 2021.</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recognized cost-reduction charges and other costs of $8.1 million. The charges related to work-force reductions were $0.5 million for changes in estimates. In addition, the company recorded charges of $7.6 million comprised of $1.9 million for net foreign currency losses related to exiting foreign countries, $4.7 million for asset impairments and $1.0 million for other expenses related to cost-reduction efforts.</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2021, the company recognized net cost-reduction charges and other costs of $0.8 million. The net credits related to work-force reductions were $0.6 million, principally related to severance costs, and were comprised of: (a) a charge of $0.7 million and (b) a credit of $1.3 million for changes in estimates. In addition, the company recorded net charges of $1.4 million comprised of a charge of $1.3 million for net foreign currency losses related to exiting foreign countries, a charge of $0.5 million for asset impairments and a credit of $0.4 million related to other cost reduction efforts.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charges (credits) were recorded in the following statement of income (loss) classifications:</w:t>
      </w:r>
    </w:p>
    <w:p>
      <w:pPr>
        <w:spacing w:after="0" w:line="158"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6"/>
          <w:szCs w:val="16"/>
          <w:color w:val="auto"/>
        </w:rPr>
        <w:t>Three Months Ended September</w:t>
      </w:r>
    </w:p>
    <w:p>
      <w:pPr>
        <w:jc w:val="center"/>
        <w:ind w:left="9040"/>
        <w:spacing w:after="0"/>
        <w:rPr>
          <w:sz w:val="20"/>
          <w:szCs w:val="20"/>
          <w:color w:val="auto"/>
        </w:rPr>
      </w:pPr>
      <w:r>
        <w:rPr>
          <w:rFonts w:ascii="Times New Roman" w:cs="Times New Roman" w:eastAsia="Times New Roman" w:hAnsi="Times New Roman"/>
          <w:sz w:val="16"/>
          <w:szCs w:val="16"/>
          <w:color w:val="auto"/>
        </w:rPr>
        <w:t>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8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7"/>
              </w:rPr>
              <w:t>1.3</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7"/>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7"/>
              </w:rPr>
              <w:t>0.8</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Gross profit margin was 22.6% in the three months ended September 30, 2022 compared with 26.0% in the three months ended September 30, 2021. The decrease was principally due to lower software license renewals.</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 the three months ended September 30, 2022 was $106.3 million (23.0% of revenue) compared with $95.1 million (19.5% of revenue) in the year-ago period. The change was primarily due one-time charges related to cost reduction activities and other non-recurring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(R&amp;D) expense for the three months ended September 30, 2022 and 2021 was $6.0 million and $6.7 million, respectively.</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the company reported an operating loss of $8.0 million compared with an operating profit of $25.1 million for prior year period. The decrease was primarily driven by lower software license renewals, one-time charges related to cost reduction activities and other non-recurring expenses.</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2022 was $7.9 million compared with $8.5 million for the three months ended September 30, 2021.</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Other (expense), net was expense of $23.3 million for the three months ended September 30, 2022 compared with expense of $24.2 million for the three months ended September 30, 2021. See Note 7 of the Notes to Consolidated Financial Statements for details of other (expense), net.</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loss before income taxes for the three months ended September 30, 2022 was $39.2 million compared with a loss of $7.6 million for the three months ended September 30, 2021.</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provision for income taxes was $0.7 million for the three months ended September 30, 2022 compared with a provision of $10.9 million for the three months ended September 30, 2021. The change in the tax provision is described below.</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evaluates quarterly the realizability of its deferred tax assets by assessing its valuation allowance and by adjusting such amount, if necessary. The company records a tax provision or benefit for those international subsidiaries that do not have a full valuation allowance against their deferred tax assets. Any profit or loss recorded for the company’s U.S. operations will have no provision or benefit associated with it due to the company’s valuation allowance, except with respect to refundable tax credits and withholding taxes not creditable against future taxable income. As a result, the company’s provision or benefit for taxes may vary significantly period to period depending on the geographic distribution of income.</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realization of the company’s net deferred tax assets as of September 30, 2022 is primarily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 Any increase or decrease in the valuation allowance would result in additional or lower income tax expense in that period and could have a significant impact on that period’s earnings. As a result of its projections of future taxable income, the company has determined that a portion of its non-U.S. net deferred tax assets no longer requires a valuation allowance as of September 30, 2022. The release of the valuation allowance for the three months ended September 30, 2022 was approximately $10.4 million, primarily in the United Kingdom and other European jurisdictions.</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loss attributable to Unisys Corporation for the three months ended September 30, 2022 was $40.1 million, or $0.59 per diluted share, compared with a loss of $18.7 million, or $0.28 per diluted share, for the three months ended September 30,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with the nine months ended September 30, 2021</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Revenue for the nine months ended September 30, 2022 was $1,422.9 million compared with $1,515.1 million for the nine months ended September 30, 2021, a decrease of 6.1% from the prior year period. Foreign currency fluctuations had a 4 percentage-point negative impact on revenue in the current period compared with the year-ago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ind w:right="680"/>
        <w:spacing w:after="0" w:line="266" w:lineRule="auto"/>
        <w:rPr>
          <w:sz w:val="20"/>
          <w:szCs w:val="20"/>
          <w:color w:val="auto"/>
        </w:rPr>
      </w:pPr>
      <w:r>
        <w:rPr>
          <w:rFonts w:ascii="Times New Roman" w:cs="Times New Roman" w:eastAsia="Times New Roman" w:hAnsi="Times New Roman"/>
          <w:sz w:val="18"/>
          <w:szCs w:val="18"/>
          <w:color w:val="auto"/>
        </w:rPr>
        <w:t>U.S. revenue increased 2.6% in the current period compared with the year-ago period. International revenue decreased 12.2% in the current period compared with the prior-year period due to decreases in Europe and Asia/Pacific. Foreign currency had a 6 percentage-point negative impact on international revenue in the nine months ended September 30, 2022 compared with the nine months ended September 30, 2021.</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recognized net cost-reduction charges and other costs of $14.2 million. The credit related to work-force reductions was $0.4 million for changes in estimates. In addition, the company recorded charges of $14.6 million comprised of $4.8 million for net foreign currency losses related to exiting foreign countries, $9.4 million for asset impairments and a net charge of $0.4 million for other expenses related to cost-reduction efforts.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2021, the company recognized net cost-reduction charges and other costs of $14.4 million. The net credits related to work-force reductions were $2.5 million, principally related to severance costs, and were comprised of: (a) a charge of $6.5 million and (b) a credit of $9.0 million for changes in estimates. In addition, the company recorded charges of $16.9 million comprised of $2.9 million for net foreign currency losses related to exiting foreign countries, $7.3 million for asset impairments and $6.7 million for other expenses related to cost-reduction efforts.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charges (credits) were recorded in the following statement of income (loss) classifications:</w:t>
      </w:r>
    </w:p>
    <w:p>
      <w:pPr>
        <w:spacing w:after="0" w:line="158" w:lineRule="exact"/>
        <w:rPr>
          <w:sz w:val="20"/>
          <w:szCs w:val="20"/>
          <w:color w:val="auto"/>
        </w:rPr>
      </w:pPr>
    </w:p>
    <w:p>
      <w:pPr>
        <w:jc w:val="center"/>
        <w:ind w:left="9200"/>
        <w:spacing w:after="0"/>
        <w:rPr>
          <w:sz w:val="20"/>
          <w:szCs w:val="20"/>
          <w:color w:val="auto"/>
        </w:rPr>
      </w:pPr>
      <w:r>
        <w:rPr>
          <w:rFonts w:ascii="Times New Roman" w:cs="Times New Roman" w:eastAsia="Times New Roman" w:hAnsi="Times New Roman"/>
          <w:sz w:val="16"/>
          <w:szCs w:val="16"/>
          <w:color w:val="auto"/>
        </w:rPr>
        <w:t>Nine Months Ended</w:t>
      </w:r>
    </w:p>
    <w:p>
      <w:pPr>
        <w:jc w:val="center"/>
        <w:ind w:left="9200"/>
        <w:spacing w:after="0"/>
        <w:rPr>
          <w:sz w:val="20"/>
          <w:szCs w:val="20"/>
          <w:color w:val="auto"/>
        </w:rPr>
      </w:pPr>
      <w:r>
        <w:rPr>
          <w:rFonts w:ascii="Times New Roman" w:cs="Times New Roman" w:eastAsia="Times New Roman" w:hAnsi="Times New Roman"/>
          <w:sz w:val="16"/>
          <w:szCs w:val="16"/>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Gross profit margin was 23.9% in the nine months ended September 30, 2022 compared with 26.9% in the nine months ended September 30, 2021. The decrease was primarily due to lower software license renewals.</w:t>
      </w:r>
    </w:p>
    <w:p>
      <w:pPr>
        <w:spacing w:after="0" w:line="5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 the nine months ended September 30, 2022 was $320.3 million (22.5% of revenue) compared with $279.7 million (18.5% of revenue) in the year-ago period. The change was primarily due to increased investments in marketing, one-time charges related to cost reduction activities and other non-recurring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(R&amp;D) expense for the nine months ended September 30, 2022 and 2021 was $17.3 million and $19.1 million, respectively.</w:t>
      </w:r>
    </w:p>
    <w:p>
      <w:pPr>
        <w:spacing w:after="0" w:line="11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the company reported an operating profit of $2.2 million compared with an operating profit of $109.5 million for the prior-year period. The decrease was primarily driven by lower software license renewals and the increased selling, general and administrative expenses discussed above.</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2022 was $24.6 million compared with $27.0 million for the nine months ended September 30, 2021.</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Other (expense), net was expense of $66.2 million for the nine months ended September 30, 2022 compared with expense of $434.6 million for the nine months ended September 30, 2021. Other (expense), net for the nine months ended September 30, 2021 included $368.7 million of pension plan settlement losses. See Note 7 of the Notes to Consolidated Financial Statements.</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loss before income taxes for the nine months ended September 30, 2022 was $88.6 million compared with a loss of $352.1 million for the nine months ended September 30, 2021. Included in the loss for the nine months ended September 30, 2021 were pension plan settlement losses of $368.7 million.</w:t>
      </w:r>
    </w:p>
    <w:p>
      <w:pPr>
        <w:spacing w:after="0" w:line="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$25.1 million for the nine months ended September 30, 2022 compared with a benefit of $33.8 million for the nine months ended September 30, 2021. Included in the provision for the nine months ended September 30, 2022 was a partial release of valuation allowances of approximately $12.1 million. See Note 8 of the Notes to the Consolidated Financial Statements. The prior year period included income tax benefits of $51.7 million related to the pension plan settlement losses in the Netherlands and Switzerland.</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loss attributable to Unisys Corporation for the nine months ended September 30, 2022 was $114.5 million, or $1.69 per diluted share, compared with a loss of $317.3 million, or $4.79 per diluted share, for the nine months ended September 30, 2021. Included in the loss for the nine months ended September 30, 2021 were pension plan settlement losses net of tax of $317.0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Effective January 1, 2022, the company changed the grouping of certain immaterial revenue streams. As a result, certain prior period segment revenue as well as the related cost of sales amounts have been reclassified to be comparable to the current period’s presentation. In addition, during the second quarter of 2022, the company renamed its Cloud and Infrastructure Solutions segment as Cloud, Applications &amp; Infrastructure Solutions to better represent the nature of the segment’s operations. There was no change to the composition of the segment or its historical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segments are as follows:</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Workplace Solutions (DWS), which provides modern and traditional workplace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Applications &amp; Infrastructure Solutions (CA&amp;I), which provides digital platform, applications, and infrastructure solutions; and</w:t>
      </w:r>
    </w:p>
    <w:p>
      <w:pPr>
        <w:spacing w:after="0" w:line="11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Computing Solutions (ECS), which provides solutions that harness secure, continuous high-intensity computing and enable digital services through software-defined operating environments.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accounting policies of each segment are the same as those followed by the company as a whole. Intersegment sales and transfers are priced as if the sales or transfers were to third parties. Accordingly, the ECS segment records intersegment revenue and manufacturing profit on hardware and software shipments to customers under contracts of other segments. These segments, in turn, record customer revenue and marketing profits on such shipments of company hardware and software to customers. In the company’s consolidated statements of income, the manufacturing costs of products sourced from the ECS segment and sold to other segments’ customers are reported in cost of revenue for these other segments. Also included in the ECS segment’s sales and gross profit are sales of hardware and software sold to other segments for internal use in their engagements. The amount of such profit included in gross profit of the ECS segment for the three and nine months ended September 30, 2021 was $0.3 million and $1.4 million, respectively. The sales and profit on these transactions are eliminated in consolidation.</w:t>
      </w:r>
    </w:p>
    <w:p>
      <w:pPr>
        <w:spacing w:after="0" w:line="8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company evaluates segment performance based on gross profit exclusive of the service cost component of postretirement income or expense, restructuring charges, amortization of purchased intangibles and unusual and nonrecurring items, which are included in other gross profit.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compared with the three months ended September 30,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operations by segment is presented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Total Segments</w:t>
            </w:r>
          </w:p>
        </w:tc>
        <w:tc>
          <w:tcPr>
            <w:tcW w:w="3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DWS</w:t>
            </w:r>
          </w:p>
        </w:tc>
        <w:tc>
          <w:tcPr>
            <w:tcW w:w="32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CA&amp;I</w:t>
            </w:r>
          </w:p>
        </w:tc>
        <w:tc>
          <w:tcPr>
            <w:tcW w:w="340" w:type="dxa"/>
            <w:vAlign w:val="bottom"/>
          </w:tcPr>
          <w:p>
            <w:pPr>
              <w:spacing w:after="0"/>
              <w:rPr>
                <w:sz w:val="18"/>
                <w:szCs w:val="18"/>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6"/>
                <w:szCs w:val="16"/>
                <w:color w:val="auto"/>
              </w:rPr>
              <w:t>ECS</w:t>
            </w:r>
          </w:p>
        </w:tc>
        <w:tc>
          <w:tcPr>
            <w:tcW w:w="0" w:type="dxa"/>
            <w:vAlign w:val="bottom"/>
          </w:tcPr>
          <w:p>
            <w:pPr>
              <w:spacing w:after="0"/>
              <w:rPr>
                <w:sz w:val="1"/>
                <w:szCs w:val="1"/>
                <w:color w:val="auto"/>
              </w:rPr>
            </w:pPr>
          </w:p>
        </w:tc>
      </w:tr>
      <w:tr>
        <w:trPr>
          <w:trHeight w:val="213"/>
        </w:trPr>
        <w:tc>
          <w:tcPr>
            <w:tcW w:w="51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w:t>
            </w: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percent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58.7 %</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w:t>
            </w: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percent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65.2 %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Gross profit percent is as a percent of total revenue.</w:t>
      </w:r>
    </w:p>
    <w:p>
      <w:pPr>
        <w:spacing w:after="0" w:line="2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DWS revenue was $130.1 million for the three months ended September 30, 2022, a decline of 9.1% compared with the three months ended September 30, 2021. Revenue for the three months ended September 30, 2022 was negatively impacted by the run-off effect of certain non-strategic contracts that the company exited in 2021. Foreign currency fluctuations had a 5 percentage-point negative impact on DWS revenue in the current period compared with the year-ago period. Gross profit percent was 15.1% in the current period compared with 12.4% in the year-ago period. The increase in gross profit for the three months ended September 30, 2022 compared with the year-ago period reflected automation and productivity improvements.</w:t>
      </w:r>
    </w:p>
    <w:p>
      <w:pPr>
        <w:spacing w:after="0" w:line="75"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CA&amp;I revenue was $122.3 million for the three months ended September 30, 2022, an increase of 5.5% compared with the three months ended September 30, 2021. Foreign currency fluctuations had a 2 percentage-point negative impact on CA&amp;I</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8" w:name="page29"/>
    <w:bookmarkEnd w:id="28"/>
    <w:p>
      <w:pPr>
        <w:ind w:right="160"/>
        <w:spacing w:after="0" w:line="282" w:lineRule="auto"/>
        <w:rPr>
          <w:sz w:val="20"/>
          <w:szCs w:val="20"/>
          <w:color w:val="auto"/>
        </w:rPr>
      </w:pPr>
      <w:r>
        <w:rPr>
          <w:rFonts w:ascii="Times New Roman" w:cs="Times New Roman" w:eastAsia="Times New Roman" w:hAnsi="Times New Roman"/>
          <w:sz w:val="18"/>
          <w:szCs w:val="18"/>
          <w:color w:val="auto"/>
        </w:rPr>
        <w:t>revenue in the current period compared with the year-ago period. Gross profit percent was 5.6% in the current period compared with 5.9% in the year-ago period.</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ECS revenue was $137.7 million for the three months ended September 30, 2022, a decline of 9.0% compared with the three months ended September 30, 2021. Foreign currency fluctuations had a 6 percentage-point negative impact on ECS revenue in the current period compared with the year-ago period. Gross profit percent was 58.7% in the current period compared with 65.2% in the year-ago period. The decrease in both revenue and gross profit was principally due to lower software license renewals.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with the nine months ended September 30,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operations by segment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Total Segments</w:t>
            </w:r>
          </w:p>
        </w:tc>
        <w:tc>
          <w:tcPr>
            <w:tcW w:w="3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DWS</w:t>
            </w:r>
          </w:p>
        </w:tc>
        <w:tc>
          <w:tcPr>
            <w:tcW w:w="32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CA&amp;I</w:t>
            </w:r>
          </w:p>
        </w:tc>
        <w:tc>
          <w:tcPr>
            <w:tcW w:w="340" w:type="dxa"/>
            <w:vAlign w:val="bottom"/>
          </w:tcPr>
          <w:p>
            <w:pPr>
              <w:spacing w:after="0"/>
              <w:rPr>
                <w:sz w:val="18"/>
                <w:szCs w:val="18"/>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6"/>
                <w:szCs w:val="16"/>
                <w:color w:val="auto"/>
              </w:rPr>
              <w:t>ECS</w:t>
            </w:r>
          </w:p>
        </w:tc>
        <w:tc>
          <w:tcPr>
            <w:tcW w:w="0" w:type="dxa"/>
            <w:vAlign w:val="bottom"/>
          </w:tcPr>
          <w:p>
            <w:pPr>
              <w:spacing w:after="0"/>
              <w:rPr>
                <w:sz w:val="1"/>
                <w:szCs w:val="1"/>
                <w:color w:val="auto"/>
              </w:rPr>
            </w:pPr>
          </w:p>
        </w:tc>
      </w:tr>
      <w:tr>
        <w:trPr>
          <w:trHeight w:val="213"/>
        </w:trPr>
        <w:tc>
          <w:tcPr>
            <w:tcW w:w="51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w:t>
            </w:r>
          </w:p>
        </w:tc>
        <w:tc>
          <w:tcPr>
            <w:tcW w:w="1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percent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28.1 %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492.1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w:t>
            </w:r>
          </w:p>
        </w:tc>
        <w:tc>
          <w:tcPr>
            <w:tcW w:w="18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percent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62.7 %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Gross profit percent is as a percent of total revenue.</w:t>
      </w:r>
    </w:p>
    <w:p>
      <w:pPr>
        <w:spacing w:after="0" w:line="1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DWS revenue was $382.1 million for the nine months ended September 30, 2022, a decline of 12.1% compared with the nine months ended September 30, 2021. Revenue for the nine months ended September 30, 2022 was negatively impacted by the run-off effect of certain non-strategic contracts that the company exited in 2021. Foreign currency fluctuations had a 3 percentage-point negative impact on DWS revenue in the current period compared with the year-ago period. Gross profit percent was 13.7% in both the nine months ended September 30, 2022 and 2021.</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CA&amp;I revenue was $381.5 million for the nine-months ended September 30, 2022, an increase of 6.5% compared with the nine months ended September 30, 2021. Foreign currency fluctuations had a 2 percentage-point negative impact on CA&amp;I revenue in the current period compared with the year-ago period. Gross profit percent was 5.5% in the current period compared with 8.4% in the year-ago period. The decrease in gross profit was primarily due to higher labor costs and additional expense recognized associated with certain contracts.</w:t>
      </w:r>
    </w:p>
    <w:p>
      <w:pPr>
        <w:spacing w:after="0" w:line="7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ECS revenue was $444.1 million for the nine months ended September 30, 2022, a decline of 9.8% compared with the nine months ended September 30, 2021. Foreign currency fluctuations had a 3 percentage-point negative impact on ECS revenue in the current period compared with the year-ago period. Gross profit percent was 60.0% in the current period compared with 62.7% in the year-ago period. The decrease in both revenue and gross profit was principally due to lower software license renewals.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w:t>
      </w:r>
    </w:p>
    <w:p>
      <w:pPr>
        <w:spacing w:after="0" w:line="1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principal sources of liquidity are cash on hand, cash from operations and its revolving credit facility, discussed below. The company and certain international subsidiaries have access to uncommitted lines of credit from various banks. The company believes that it will have adequate sources of liquidity to meet its expected cash requirements for at least the next 12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September 30, 2022 were $351.4 million compared to $552.9 million at December 31, 2021.</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September 30, 2022, $276.7 million of cash and cash equivalents were held by the company’s foreign subsidiaries and branches operating outside of the U.S. The company may not be able to readily transfer up to one-third of these funds out of the country in which they are located as a result of local restrictions, contractual or other legal arrangements or commercial considerations. Additionally, any transfers of these funds to the U.S. in the future may require the company to accrue or pay withholding or other taxes on a portion of the amount transferred.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cash used for operations was $22.2 million compared to cash provided $64.5 million during the nine months ended September 30, 2021, primarily driven by the change in accounts receivable.</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Cash used for investing activities during the nine months ended September 30, 2022 was $124.4 million compared to cash usage of $236.0 million during the nine months ended September 30, 2021. Cash usage during the nine months ended September 30, 2021 included $150.4 million for acquisitions. Net purchases of investments were $58.4 million for the nine months ended September 30, 2022 compared with net purchases of $8.2 million in the prior-year period. Proceeds from investments and purchases of investments represent derivative financial instruments used to reduce the company’s currency exposure to market risks from changes in foreign currency exchange rates. In the current period, the investment in marketable software was $35.2 million compared with $42.1 million in the year-ago period, capital additions of properties were $21.5 million compared with $19.7 million in the year-ago period and capital additions of outsourcing assets were $8.1 million compared with $14.7 million in the year-ago period.</w:t>
      </w:r>
    </w:p>
    <w:p>
      <w:pPr>
        <w:spacing w:after="0" w:line="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used for financing activities during the nine months ended September 30, 2022 was $18.4 million compared to cash used of $100.8 million during the nine months ended September 30, 2021. The decrease in cash used was principally due to redemptions of debt in the prior year period.</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2022, the company expects to make cash contributions of approximately $38.5 million primarily for its international defined benefit pension plans. In 2021, the company made cash contributions of $52.4 million to its worldwide defined benefit pension plans. For the nine months ended September 30, 2022 and 2021, the company made cash contributions of $30.9 million and $40.3 million, respectively.</w:t>
      </w:r>
    </w:p>
    <w:p>
      <w:pPr>
        <w:spacing w:after="0" w:line="6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At the end of each year, the company estimates its future cash contributions to its U.S. qualified defined benefit pension plans based on year-end pension data and assumptions. Any material deterioration in the value of the company’s U.S. qualified defined benefit pension plan assets, as well as changes in pension legislation, discount rate changes, asset return changes, or changes in economic or demographic trends, could require the company to make cash contributions to its U.S. qualified defined benefit pension plans. Based upon current estimates, the company does not expect to make mandatory cash contributions to its U.S. qualified defined benefit pension plans until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total debt was $515.9 million compared to $529.4 million at December 31, 2021.</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March 2021, the company completed the conversion of $84.2 million aggregate principal amount of the 2021 Notes that remained outstanding for a combination of cash and shares of the company’s common stock. As a result of the conversion of the outstanding 2021 Notes, the company delivered to the holders (i) aggregate cash payments totaling approximately $86.5 million, which included an aggregate cash payment for outstanding principal of approximately $84.2 million, an aggregate cash payment for accrued interest of approximately $2.3 million and a nominal cash payment in lieu of fractional shares, and (ii) the issuance of 4,537,123 shares of the company’s common stock. The issuance of the common stock was made in exchange for the 2021 Notes pursuant to an exemption from the registration requirements provided by Section 3(a)(9) of the Securities Act of 1933, as amended.</w:t>
      </w:r>
    </w:p>
    <w:p>
      <w:pPr>
        <w:spacing w:after="0" w:line="6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has a secured revolving credit facility (the Amended and Restated ABL Credit Facility) that expires on October 29, 2025 that provides for revolving loans and letters of credit up to an aggregate amount of $145.0 million (with a limit on letters of credit of $40.0 million), with an accordion feature provision allowing for the aggregate amount available under the credit facility to be increased up to $175.0 million upon the satisfaction of certain conditions specified in the Amended and Restated ABL Credit Facility. Availability under the credit facility is subject to a borrowing base calculated by reference to the company’s receivables. At September 30, 2022, the company had no borrowings and $6.3 million of letters of credit outstanding, and availability under the facility was $66.3 million net of letters of credit issued.</w:t>
      </w:r>
    </w:p>
    <w:p>
      <w:pPr>
        <w:spacing w:after="0" w:line="5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Amended and Restated ABL Credit Facility is subject to a springing maturity, under which the Amended and Restated ABL Credit Facility will immediately mature 91 days prior to any date on which contributions to pension funds in the United States in an amount in excess of $100.0 million are required to be paid unless the company is able to meet certain conditions, including that the company has the liquidity (as defined in the Amended and Restated ABL Credit Facility) to cash settle the amount of such pension payments, no default or event of default has occurred under the Amended and Restated ABL Credit Facility, the company’s liquidity is above $130.0 million and the company is in compliance with the then applicable fixed charge coverage ratio on a pro forma basis.</w:t>
      </w:r>
    </w:p>
    <w:p>
      <w:pPr>
        <w:spacing w:after="0" w:line="6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Amended and Restated ABL Credit Facility is guaranteed by Unisys Holding Corporation, Unisys NPL, Inc., Unisys AP Investment Company I, CompuGain LLC and CompuGain Public Services, LLC, each of which is a U.S. corporation or limited liability company that is directly or indirectly owned by the company (the subsidiary guarantors). The facility is secured by the assets of the company and the subsidiary guarantors, other than certain excluded assets, under a security agreement entered into by the company and the subsidiary guarantors in favor of JPMorgan Chase Bank, N.A., as agent for the lenders under the credit facility.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required to maintain a minimum fixed charge coverage ratio if the availability under the Amended and Restated ABL Credit Facility falls below the greater of 10% of the lenders’ commitments under the facility and $14.5 million.</w:t>
      </w:r>
    </w:p>
    <w:p>
      <w:pPr>
        <w:spacing w:after="0" w:line="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Amended and Restated ABL Credit Facility contains customary representations and warranties, including, but not limited to, that there has been no material adverse change in the company’s business, properties, operations or financial condition. The Amended and Restated ABL Credit Facility includes restrictions on the ability of the company and its subsidiaries to, among other things, incur other debt or liens, dispose of assets and make acquisitions, loans and investments, repurchase its equity, and prepay other debt. These restrictions are subject to several important limitations and exceptions. Events of default include non-payment, failure to comply with covenants, materially incorrect representations and warranties, change of control and default under other debt aggregating at least $50.0 million, subject to relevant cure periods, as applicable.</w:t>
      </w:r>
    </w:p>
    <w:p>
      <w:pPr>
        <w:spacing w:after="0" w:line="7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At September 30, 2022, the company has met all covenants and conditions under its various lending and funding agreements. For at least the next 12 months, the company expects to continue to meet these covenants and conditions.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may explore a variety of institutional debt and equity sources to fund its liquidity and capital needs.</w:t>
      </w:r>
    </w:p>
    <w:p>
      <w:pPr>
        <w:spacing w:after="0" w:line="1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redeem, tender for, or repurchase its securities in the open market or in privately negotiated transactions depending upon availability, market conditions and other factors.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Quantitative and Qualitative Disclosures About Market Risk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material change in the company’s assessment of its sensitivity to market risk since its disclosure in its 2021 Form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Controls and Procedures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management performed, with the participation of the Chief Executive Officer (CEO) and the Chief Financial Officer (CFO), an evaluation of the effectiveness of the company’s disclosure controls and procedures as defined in Rules 13a-15(e) and 15d-15(e) of the Securities Exchange Act of 1934 (the Exchange Act).</w:t>
      </w:r>
    </w:p>
    <w:p>
      <w:pPr>
        <w:spacing w:after="0" w:line="68"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company has evaluated the effectiveness of the company’s disclosure controls and procedures and identified material weaknesses in the company’s disclosure controls and procedures and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CEO and CFO concluded that our disclosure controls and procedures were not effective as of September 30, 2022 as the company did not design and maintain effective formal policies and procedures over information being communicated by the IT function and the legal and compliance function to those responsible for governance, including the CEO and CFO, to allow timely decisions related to both financial reporting, as further described below, and other non-financial reporting in the reports that the company files or submits under the Exchange Act.</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did not design and maintain effective formal policies and procedures to ensure appropriate information is communicated from the IT function and the legal and compliance function to the accounting function and those responsible for governance on a timely basis so as to provide reasonable assurance regarding the reliability of financial reporting and the preparation of financial statements for external purposes in accordance with generally accepted accounting principles. These material weaknesses did not result in a misstatement of the company’s financial statements, however, they could have resulted in misstatements of interim or annual consolidated financial statements and disclosures that would result in a material misstatement that would not be prevented or detected.</w:t>
      </w:r>
    </w:p>
    <w:p>
      <w:pPr>
        <w:spacing w:after="0" w:line="7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Notwithstanding such material weaknesses, the CEO and CFO have concluded that the company’s consolidated financial statements included in the Quarterly Report are fairly stated in all material respects in accordance with generally accepted accounting principles in the United States of America for each of the periods presented.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for Remediation of Material Weaknesses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Management is actively engaged in the planning for, and implementation of, remediation efforts to address the material weaknesses in the company’s disclosure controls and procedures and internal control over financial reporting identified above. Management intends to implement remediation steps, including the following: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left="660" w:righ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enhance its written policy regarding information escalation for cyber-incidents. In addition, the company completed an assessment of staffing within the company’s incident response team.</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enhance its disclosure committee (the Disclosure Committee) and the disclosure working group that supports the Disclosure Committee.</w:t>
      </w:r>
    </w:p>
    <w:p>
      <w:pPr>
        <w:spacing w:after="0" w:line="5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require all direct reports to the CEO to confirm that they have made the Disclosure Committee aware of any matters under their purview that the Disclosure Committee should be considering in advance of applicable SEC filings.</w:t>
      </w:r>
    </w:p>
    <w:p>
      <w:pPr>
        <w:spacing w:after="0" w:line="5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provide training and policies (including any policy revisions) to non-finance executives regarding escalation of significant matters related to SEC reporting requirements.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will be drafted to address the proper handling of information so that the Security &amp; Risk Committee and Audit Committee are properly informed.</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revised its Speak Up Policy to make all associates aware that they have direct access to, and may approach, company executives and the Board of Directors, and that they have access to the company's whistleblower hotline.</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Management believes the measures described above and others that have been, or may be, implemented will remediate the material weaknesses that we have identified. As management continues to evaluate and improve our disclosure controls and procedures and internal control over financial reporting, the company may decide to take additional measures to address control deficiencies or determine to modify, or in appropriate circumstances not to complete, certain of the remediation measures identified.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occurred during the quarter ended September 30, 2022, that has materially affected, or is reasonably likely to materially affect, our internal control over financial reporting.</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9"/>
          <w:szCs w:val="29"/>
          <w:b w:val="1"/>
          <w:bCs w:val="1"/>
          <w:color w:val="auto"/>
        </w:rPr>
        <w:t>Part II - 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 Legal Proceedings</w:t>
      </w:r>
    </w:p>
    <w:p>
      <w:pPr>
        <w:spacing w:after="0" w:line="12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with respect to litigation is set forth in Note 15 of the Notes to Consolidated Financial Statements, and such information is incorporated herein by reference.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1A. Risk Factors</w:t>
      </w:r>
    </w:p>
    <w:p>
      <w:pPr>
        <w:spacing w:after="0" w:line="23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“Risk Factors” in Part I, Item 1A of the company’s 2021 Form 10-K filed with the SEC on February 22, 2022, except for the following:</w:t>
      </w:r>
    </w:p>
    <w:p>
      <w:pPr>
        <w:spacing w:after="0" w:line="15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We have identified material weaknesses in our disclosure controls and procedures and internal control over financial reporting. Failure to remediate the material weaknesses or any other material weaknesses that we identify in the future could result in material misstatements in our financial statements.</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as amended,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Following an investigation by the company’s Audit &amp; Finance Committee (Audit Committee) into the company’s internal control environment, the company has reevaluated the effectiveness of the company’s disclosure controls and procedures and internal control over financial reporting and identified material weaknesses in the company’s disclosure controls and procedures and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Our management may be unable to conclude in future periods that our disclosure controls and procedures are effective due to the effects of various factors, which may, in part, include unremediated material weaknesses in internal control over financial reporting.</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 is committed to maintaining a strong internal control environment and believes its remediation efforts will represent an improvement in existing controls. Management anticipates that the new controls, as implemented and when tested for a sufficient period of time, will remediate the material weaknesses. We may not be successful in promptly remediating the material weaknesses identified by management, or be able to identify and remediate additional control deficiencies, including material weaknesses, in the future. If not remediated, our failure to establish and maintain effective disclosure controls and procedures and internal control over financial reporting could result in material misstatements in our financial statements and a failure to meet our reporting and financial obligations, each of which could have a material adverse effect on our financial condition and the trading price of our common stock.</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received, and may receive in the future, regulatory, investigative and enforcement inquiries, subpoenas or demands arising from, related to, or in connection with these matters. Professional costs resulting from the investigation that resulted in the identification of the material weaknesses have been significant and are expected to continue to be significant, in particular if litigation costs relating to these regulatory, investigative and enforcement inquiries, subpoenas and demands grow. Although we believe that no significant business has been lost to date, it is possible that a change in the perceptions of our business partners could occur as a result of the investigation and the material weaknesses. In addition, as a result of the investigation and remediation efforts, certain operational changes have occurred and may continue to occur in the future. Any or all of these impacts based on the findings of the investigation and related matters and the surrounding circumstances could exacerbate the other risks described herein and directly or indirectly have a material adverse effect on our operations and/or financial performance.</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Cybersecurity incidents could result in the company incurring significant costs and could harm the company’s business and reputation.</w:t>
      </w:r>
    </w:p>
    <w:p>
      <w:pPr>
        <w:spacing w:after="0" w:line="12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The company’s business includes managing, processing, storing and transmitting proprietary and confidential data, including personal information, intellectual property and proprietary business information, within the company’s own IT systems and those that the company designs, develops, hosts or manages for clients. These systems are critical to the company’s business activities, and shutdowns or disruptions of, and cybersecurity attacks on, these systems pose increasing risks. Cybersecurity incidents and network security incidents may include, but are not limited to, attempts to access or unauthorized access of information, exploitation of vulnerabilities (including those of third-party software or systems), computer viruses, ransomware, denial of service and other electronic security incidents. Attacks also include social engineering and cyber extortion to induce customers, contractors, business partners, vendors, employees and other third parties to disclose information, transfer funds, or unwittingly provide access to systems or data. Cyberattacks from computer hackers and cyber criminals and other malicious internet-based activity continue to increase generally, and the company’s services and systems, including the systems of the company’s outsourced service providers, have been and may in the future continue to be the target of various forms of cybersecurity incidents such as DNS attacks, wireless network attacks, viruses and worms, malicious software, ransomware, cyber extortion, misconfigurations, supply chain attacks, application centric attacks, peer-to-peer attacks, phishing attempts, backdoor trojans and distributed denial of service attacks.</w:t>
      </w:r>
    </w:p>
    <w:p>
      <w:pPr>
        <w:spacing w:after="0" w:line="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techniques used by computer hackers and cyber criminals to obtain unauthorized access to data or to sabotage computer systems change frequently and are growing in sophistication, and these new techniques generally are not detected until after an incident has occurred. Cybersecurity incidents involving the company’s systems, despite established security controls, could result in disruption of the company’s services, misappropriation, misuse, alteration, theft, loss, corruption, leakage, falsification, and accidental or premature release or improper disclosure or misuse of confidential or other information, including intellectual property and personal information (of the company, third parties, employees, clients or others). The company could be exposed to liability, litigation, and regulatory or other government action, as well as the loss of existing or potential customers, damage to the company’s brand and reputation, damage to the company’s competitive position, and other financial loss, any of which could have a material adverse effect on the company’s business, financial condition and results of operations. In addition, the cost and operational consequences of responding to cybersecurity incidents and implementing remediation measures could be significant. In the company’s industry, security vulnerabilities are increasingly discovered, publicized and exploited across a broad range of hardware, software or other infrastructure, elevating the risk of attacks and the potential cost of response and remediation for the company.</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the company continuously takes significant steps to mitigate cybersecurity risk across a range of functions, such measures can never eliminate the risk entirely or provide absolute security, and the company has experienced and expects to continue to experience cyberattacks on its information systems. While there have not been cybersecurity incidents or vulnerabilities that have had a material adverse effect on the company, there is no assurance that there will not be cybersecurity incidents or vulnerabilities that will have a material adverse effect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has significant underfunded pension obligations.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has significant underfunded obligations under its U.S. and non-U.S. defined benefit pension plans. In 2021, the company made cash contributions of $52.4 million, primarily for its international defined benefit pension plans. Based on current legislation, global regulations, recent interest rates and expected returns, in 2022 the company expects to make cash contributions of approximately $38.5 million, primarily for its international defined benefit pension plans. Estimates for future cash contributions are likely to change based on a number of factors including market conditions and changes in discount rates. The company may need to obtain additional funding in order to make future contributions. In this event, there is no assurance that the company would be able to obtain such funding or that the company will have enough cash on hand to pay the required cash contributions.</w:t>
      </w:r>
    </w:p>
    <w:p>
      <w:pPr>
        <w:spacing w:after="0" w:line="7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Deterioration in the value of the company’s worldwide defined benefit pension plan assets, as well as discount rate changes, asset return changes, or changes in economic or demographic trends, could require the company to make cash contributions to its defined benefit pension plans in the future in an amount larger than currently anticipated. Increased cash contribution requirements or an acceleration in the due date of such cash contributions would further reduce the cash available for working capital, capital expenditures and other corporate uses and may worsen the adverse impact on the company’s operations, financial condition and liquidity.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CAUTIONARY STATEMENT PURSUANT TO THE U.S. PRIVATE SECURITIES LITIGATION REFORM ACT OF 1995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and uncertainties that could cause the company’s future results to differ materially from those expressed in “forward-looking” statements include: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Implementation of Business Strategy in Information Technology Market</w:t>
      </w:r>
    </w:p>
    <w:p>
      <w:pPr>
        <w:spacing w:after="0" w:line="9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personnel in key positions;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grow revenue and expand margin in our Digital Workplace Solutions and Cloud, Applications &amp; Infrastructure Solutions businesses;</w:t>
      </w:r>
    </w:p>
    <w:p>
      <w:pPr>
        <w:spacing w:after="0" w:line="11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installed base and sell new solutions and related services;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financial risk in implementing acquisitions or dispositions;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effects of aggressive competition in the information services and technology market;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respond to rapid technological innovation in our industry;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significant clients and attract new clients;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may not be as profitable as expected or provide the expected level of revenues;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or acquire the capabilities to enhance the company’s solutions;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10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underfunded pension obligations;</w:t>
      </w:r>
    </w:p>
    <w:p>
      <w:pPr>
        <w:spacing w:after="0" w:line="9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General Business Risks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Audit &amp; Finance Committee’s investigation;</w:t>
      </w:r>
    </w:p>
    <w:p>
      <w:pPr>
        <w:spacing w:after="0" w:line="10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management’s conclusion, in consultation with the Audit &amp; Finance Committee, that material weaknesses existed in our disclosure controls and procedures and internal control over financial reporting;</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evaluation and implementation of remediation efforts designed and implemented to enhance our control environment;</w:t>
      </w:r>
    </w:p>
    <w:p>
      <w:pPr>
        <w:spacing w:after="0" w:line="90"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identification of one or more additional material weaknesses in our internal control over financial reporting of which we are not currently aware or that have not been detected;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growth, reputation, projections, financial condition, operations, cash flows and liquidity;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capabilities of third parties with whom we have commercial relationships;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could result in incurring significant costs and could harm our business and reputation;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meet standards or expectations with respect to the company’s environmental, social and governance practices;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when a significant portion of our revenue is derived from international operations;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financing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credit rating;</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effects of global economic conditions, acts of war, terrorism, natural disasters or the widespread outbreak of infectious diseases;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disruption in our IT systems could adversely affect our business and reputation;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damage to our reputation or legal liability if our clients are not satisfied with our services or products;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intellectual property infringement claims to be asserted against us or our clients;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legal proceedings could affect our results of operations or cash flow or may adversely affect our business or reputation; and</w:t>
      </w:r>
    </w:p>
    <w:p>
      <w:pPr>
        <w:spacing w:after="0" w:line="9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Assets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discussed in this report, although not listed here, also could materially affect our future results.</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5"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5"/>
          <w:szCs w:val="25"/>
          <w:b w:val="1"/>
          <w:bCs w:val="1"/>
          <w:color w:val="auto"/>
        </w:rPr>
        <w:t>Item 6. Exhibits</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1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04" w:right="1440" w:bottom="1440" w:gutter="0" w:footer="0" w:header="0"/>
        </w:sectPr>
      </w:pPr>
    </w:p>
    <w:bookmarkStart w:id="36" w:name="page37"/>
    <w:bookmarkEnd w:id="36"/>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20" w:type="dxa"/>
            <w:vAlign w:val="bottom"/>
            <w:gridSpan w:val="2"/>
          </w:tcPr>
          <w:p>
            <w:pPr>
              <w:ind w:left="316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528"/>
        </w:trPr>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20" w:type="dxa"/>
            <w:vAlign w:val="bottom"/>
            <w:gridSpan w:val="2"/>
          </w:tcPr>
          <w:p>
            <w:pPr>
              <w:spacing w:after="0"/>
              <w:rPr>
                <w:sz w:val="24"/>
                <w:szCs w:val="24"/>
                <w:color w:val="auto"/>
              </w:rPr>
            </w:pPr>
          </w:p>
        </w:tc>
      </w:tr>
      <w:tr>
        <w:trPr>
          <w:trHeight w:val="223"/>
        </w:trPr>
        <w:tc>
          <w:tcPr>
            <w:tcW w:w="162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580" w:type="dxa"/>
            <w:vAlign w:val="bottom"/>
            <w:tcBorders>
              <w:top w:val="single" w:sz="8" w:color="auto"/>
              <w:bottom w:val="single" w:sz="8" w:color="auto"/>
            </w:tcBorders>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0" w:type="dxa"/>
            <w:vAlign w:val="bottom"/>
          </w:tcPr>
          <w:p>
            <w:pPr>
              <w:spacing w:after="0"/>
              <w:rPr>
                <w:sz w:val="19"/>
                <w:szCs w:val="19"/>
                <w:color w:val="auto"/>
              </w:rPr>
            </w:pPr>
          </w:p>
        </w:tc>
      </w:tr>
      <w:tr>
        <w:trPr>
          <w:trHeight w:val="223"/>
        </w:trPr>
        <w:tc>
          <w:tcPr>
            <w:tcW w:w="460" w:type="dxa"/>
            <w:vAlign w:val="bottom"/>
            <w:gridSpan w:val="3"/>
          </w:tcPr>
          <w:p>
            <w:pPr>
              <w:ind w:left="140"/>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160" w:type="dxa"/>
            <w:vAlign w:val="bottom"/>
          </w:tcPr>
          <w:p>
            <w:pPr>
              <w:spacing w:after="0"/>
              <w:rPr>
                <w:sz w:val="19"/>
                <w:szCs w:val="19"/>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Restated Certificate of Incorporation of Unisys Corporation (incorporated by reference to Exhibit 3.1 to the registrant’s Current</w:t>
            </w:r>
          </w:p>
        </w:tc>
      </w:tr>
      <w:tr>
        <w:trPr>
          <w:trHeight w:val="214"/>
        </w:trPr>
        <w:tc>
          <w:tcPr>
            <w:tcW w:w="1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Report on Form 8-K filed on April 30, 2010)</w:t>
            </w:r>
          </w:p>
        </w:tc>
      </w:tr>
      <w:tr>
        <w:trPr>
          <w:trHeight w:val="238"/>
        </w:trPr>
        <w:tc>
          <w:tcPr>
            <w:tcW w:w="460" w:type="dxa"/>
            <w:vAlign w:val="bottom"/>
            <w:gridSpan w:val="3"/>
          </w:tcPr>
          <w:p>
            <w:pPr>
              <w:ind w:left="140"/>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160" w:type="dxa"/>
            <w:vAlign w:val="bottom"/>
          </w:tcPr>
          <w:p>
            <w:pPr>
              <w:spacing w:after="0"/>
              <w:rPr>
                <w:sz w:val="20"/>
                <w:szCs w:val="20"/>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Certificate of Amendment of the Restated Certificate of Incorporation of Unisys Corporation (incorporated by reference to</w:t>
            </w:r>
          </w:p>
        </w:tc>
      </w:tr>
      <w:tr>
        <w:trPr>
          <w:trHeight w:val="214"/>
        </w:trPr>
        <w:tc>
          <w:tcPr>
            <w:tcW w:w="1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Exhibit 3.1 to the registrant’s Current Report on Form 8-K filed on April 28, 2011)</w:t>
            </w:r>
          </w:p>
        </w:tc>
      </w:tr>
      <w:tr>
        <w:trPr>
          <w:trHeight w:val="238"/>
        </w:trPr>
        <w:tc>
          <w:tcPr>
            <w:tcW w:w="460" w:type="dxa"/>
            <w:vAlign w:val="bottom"/>
            <w:gridSpan w:val="3"/>
          </w:tcPr>
          <w:p>
            <w:pPr>
              <w:ind w:left="140"/>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1160" w:type="dxa"/>
            <w:vAlign w:val="bottom"/>
          </w:tcPr>
          <w:p>
            <w:pPr>
              <w:spacing w:after="0"/>
              <w:rPr>
                <w:sz w:val="20"/>
                <w:szCs w:val="20"/>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Certificate of Amendment of the Restated Certificate of Incorporation of Unisys Corporation (incorporated by reference to</w:t>
            </w:r>
          </w:p>
        </w:tc>
      </w:tr>
      <w:tr>
        <w:trPr>
          <w:trHeight w:val="214"/>
        </w:trPr>
        <w:tc>
          <w:tcPr>
            <w:tcW w:w="1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Exhibit 3.1 to the registrant’s Current Report on Form 8-K filed on April 28, 2017)</w:t>
            </w:r>
          </w:p>
        </w:tc>
      </w:tr>
      <w:tr>
        <w:trPr>
          <w:trHeight w:val="238"/>
        </w:trPr>
        <w:tc>
          <w:tcPr>
            <w:tcW w:w="460" w:type="dxa"/>
            <w:vAlign w:val="bottom"/>
            <w:gridSpan w:val="3"/>
          </w:tcPr>
          <w:p>
            <w:pPr>
              <w:ind w:left="140"/>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4</w:t>
              </w:r>
            </w:hyperlink>
          </w:p>
        </w:tc>
        <w:tc>
          <w:tcPr>
            <w:tcW w:w="1160" w:type="dxa"/>
            <w:vAlign w:val="bottom"/>
          </w:tcPr>
          <w:p>
            <w:pPr>
              <w:spacing w:after="0"/>
              <w:rPr>
                <w:sz w:val="20"/>
                <w:szCs w:val="20"/>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Bylaws of Unisys Corporation, as amended through May 10, 2019 (incorporated by reference to Exhibit 3.1 to the registrant’s</w:t>
            </w:r>
          </w:p>
        </w:tc>
      </w:tr>
      <w:tr>
        <w:trPr>
          <w:trHeight w:val="214"/>
        </w:trPr>
        <w:tc>
          <w:tcPr>
            <w:tcW w:w="1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Current Report on Form 8-K filed on May 15, 2019)</w:t>
            </w:r>
          </w:p>
        </w:tc>
      </w:tr>
      <w:tr>
        <w:trPr>
          <w:trHeight w:val="238"/>
        </w:trPr>
        <w:tc>
          <w:tcPr>
            <w:tcW w:w="140" w:type="dxa"/>
            <w:vAlign w:val="bottom"/>
          </w:tcPr>
          <w:p>
            <w:pPr>
              <w:spacing w:after="0"/>
              <w:rPr>
                <w:sz w:val="20"/>
                <w:szCs w:val="20"/>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160" w:type="dxa"/>
            <w:vAlign w:val="bottom"/>
          </w:tcPr>
          <w:p>
            <w:pPr>
              <w:spacing w:after="0"/>
              <w:rPr>
                <w:sz w:val="20"/>
                <w:szCs w:val="20"/>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Certification of Peter A. Altabef required by Rule 13a-14(a) or Rule 15d-14(a)</w:t>
            </w: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160" w:type="dxa"/>
            <w:vAlign w:val="bottom"/>
          </w:tcPr>
          <w:p>
            <w:pPr>
              <w:spacing w:after="0"/>
              <w:rPr>
                <w:sz w:val="22"/>
                <w:szCs w:val="22"/>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Certification of Debra McCann required by Rule 13a-14(a) or Rule 15d-14(a)</w:t>
            </w:r>
          </w:p>
        </w:tc>
      </w:tr>
      <w:tr>
        <w:trPr>
          <w:trHeight w:val="263"/>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160" w:type="dxa"/>
            <w:vAlign w:val="bottom"/>
          </w:tcPr>
          <w:p>
            <w:pPr>
              <w:spacing w:after="0"/>
              <w:rPr>
                <w:sz w:val="22"/>
                <w:szCs w:val="22"/>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Certification of Peter A. Altabef required by Rule 13a-14(b) or Rule 15d-14(b) and Section 906 of the Sarbanes-Oxley Act of</w:t>
            </w:r>
          </w:p>
        </w:tc>
      </w:tr>
      <w:tr>
        <w:trPr>
          <w:trHeight w:val="214"/>
        </w:trPr>
        <w:tc>
          <w:tcPr>
            <w:tcW w:w="1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2002, 18 U.S.C. Section 1350</w:t>
            </w:r>
          </w:p>
        </w:tc>
      </w:tr>
      <w:tr>
        <w:trPr>
          <w:trHeight w:val="238"/>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160" w:type="dxa"/>
            <w:vAlign w:val="bottom"/>
          </w:tcPr>
          <w:p>
            <w:pPr>
              <w:spacing w:after="0"/>
              <w:rPr>
                <w:sz w:val="20"/>
                <w:szCs w:val="20"/>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Certification of Debra McCann required by Rule 13a-14(b) or Rule 15d-14(b) and Section 906 of the Sarbanes-Oxley Act of</w:t>
            </w:r>
          </w:p>
        </w:tc>
      </w:tr>
      <w:tr>
        <w:trPr>
          <w:trHeight w:val="214"/>
        </w:trPr>
        <w:tc>
          <w:tcPr>
            <w:tcW w:w="1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2002, 18 U.S.C. Section 1350</w:t>
            </w:r>
          </w:p>
        </w:tc>
      </w:tr>
      <w:tr>
        <w:trPr>
          <w:trHeight w:val="225"/>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spacing w:after="0"/>
              <w:rPr>
                <w:sz w:val="19"/>
                <w:szCs w:val="19"/>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following financial information from Unisys Corporation’s Quarterly Report on Form 10-Q for the quarter ended</w:t>
            </w:r>
          </w:p>
        </w:tc>
      </w:tr>
      <w:tr>
        <w:trPr>
          <w:trHeight w:val="184"/>
        </w:trPr>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20" w:type="dxa"/>
            <w:vAlign w:val="bottom"/>
            <w:gridSpan w:val="2"/>
          </w:tcPr>
          <w:p>
            <w:pPr>
              <w:ind w:left="320"/>
              <w:spacing w:after="0" w:line="184" w:lineRule="exact"/>
              <w:rPr>
                <w:sz w:val="20"/>
                <w:szCs w:val="20"/>
                <w:color w:val="auto"/>
              </w:rPr>
            </w:pPr>
            <w:r>
              <w:rPr>
                <w:rFonts w:ascii="Times New Roman" w:cs="Times New Roman" w:eastAsia="Times New Roman" w:hAnsi="Times New Roman"/>
                <w:sz w:val="18"/>
                <w:szCs w:val="18"/>
                <w:color w:val="auto"/>
              </w:rPr>
              <w:t>September 30, 2022 formatted in iXBRL (Inline Extensible Business Reporting Language): (i) Consolidated Statements of</w:t>
            </w:r>
          </w:p>
        </w:tc>
      </w:tr>
      <w:tr>
        <w:trPr>
          <w:trHeight w:val="180"/>
        </w:trPr>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20" w:type="dxa"/>
            <w:vAlign w:val="bottom"/>
            <w:gridSpan w:val="2"/>
          </w:tcPr>
          <w:p>
            <w:pPr>
              <w:ind w:left="320"/>
              <w:spacing w:after="0" w:line="181" w:lineRule="exact"/>
              <w:rPr>
                <w:sz w:val="20"/>
                <w:szCs w:val="20"/>
                <w:color w:val="auto"/>
              </w:rPr>
            </w:pPr>
            <w:r>
              <w:rPr>
                <w:rFonts w:ascii="Times New Roman" w:cs="Times New Roman" w:eastAsia="Times New Roman" w:hAnsi="Times New Roman"/>
                <w:sz w:val="18"/>
                <w:szCs w:val="18"/>
                <w:color w:val="auto"/>
              </w:rPr>
              <w:t>Income (Loss), (ii) Consolidated Statements of Comprehensive Income (Loss), (iii) Consolidated Balance Sheets, (iv)</w:t>
            </w:r>
          </w:p>
        </w:tc>
      </w:tr>
      <w:tr>
        <w:trPr>
          <w:trHeight w:val="175"/>
        </w:trPr>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20" w:type="dxa"/>
            <w:vAlign w:val="bottom"/>
            <w:gridSpan w:val="2"/>
          </w:tcPr>
          <w:p>
            <w:pPr>
              <w:ind w:left="320"/>
              <w:spacing w:after="0" w:line="176" w:lineRule="exact"/>
              <w:rPr>
                <w:sz w:val="20"/>
                <w:szCs w:val="20"/>
                <w:color w:val="auto"/>
              </w:rPr>
            </w:pPr>
            <w:r>
              <w:rPr>
                <w:rFonts w:ascii="Times New Roman" w:cs="Times New Roman" w:eastAsia="Times New Roman" w:hAnsi="Times New Roman"/>
                <w:sz w:val="18"/>
                <w:szCs w:val="18"/>
                <w:color w:val="auto"/>
              </w:rPr>
              <w:t>Consolidated Statements of Cash Flows, (v) Consolidated Statements of Deficit, and (vi) Notes to Consolidated Financial</w:t>
            </w:r>
          </w:p>
        </w:tc>
      </w:tr>
      <w:tr>
        <w:trPr>
          <w:trHeight w:val="234"/>
        </w:trPr>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Statements</w:t>
            </w:r>
          </w:p>
        </w:tc>
      </w:tr>
      <w:tr>
        <w:trPr>
          <w:trHeight w:val="238"/>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20"/>
                <w:szCs w:val="20"/>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iXBRL (Inline Extensible Business</w:t>
            </w:r>
          </w:p>
        </w:tc>
      </w:tr>
      <w:tr>
        <w:trPr>
          <w:trHeight w:val="234"/>
        </w:trPr>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Reporting Language) document)</w:t>
            </w:r>
          </w:p>
        </w:tc>
      </w:tr>
      <w:tr>
        <w:trPr>
          <w:trHeight w:val="522"/>
        </w:trPr>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58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24"/>
                <w:szCs w:val="24"/>
                <w:color w:val="auto"/>
              </w:rPr>
            </w:pPr>
          </w:p>
        </w:tc>
      </w:tr>
      <w:tr>
        <w:trPr>
          <w:trHeight w:val="466"/>
        </w:trPr>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0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UNISYS CORPORATION</w:t>
            </w:r>
          </w:p>
        </w:tc>
      </w:tr>
      <w:tr>
        <w:trPr>
          <w:trHeight w:val="49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23, 2022</w:t>
            </w:r>
          </w:p>
        </w:tc>
        <w:tc>
          <w:tcPr>
            <w:tcW w:w="28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Debra McCann</w:t>
            </w:r>
          </w:p>
        </w:tc>
      </w:tr>
      <w:tr>
        <w:trPr>
          <w:trHeight w:val="218"/>
        </w:trPr>
        <w:tc>
          <w:tcPr>
            <w:tcW w:w="37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Debra McCann</w:t>
            </w:r>
          </w:p>
        </w:tc>
      </w:tr>
      <w:tr>
        <w:trPr>
          <w:trHeight w:val="229"/>
        </w:trPr>
        <w:tc>
          <w:tcPr>
            <w:tcW w:w="37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7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29"/>
        </w:trPr>
        <w:tc>
          <w:tcPr>
            <w:tcW w:w="3700" w:type="dxa"/>
            <w:vAlign w:val="bottom"/>
          </w:tcPr>
          <w:p>
            <w:pPr>
              <w:spacing w:after="0"/>
              <w:rPr>
                <w:sz w:val="24"/>
                <w:szCs w:val="24"/>
                <w:color w:val="auto"/>
              </w:rPr>
            </w:pPr>
          </w:p>
        </w:tc>
        <w:tc>
          <w:tcPr>
            <w:tcW w:w="28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4"/>
                <w:szCs w:val="24"/>
                <w:color w:val="auto"/>
              </w:rPr>
            </w:pP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Erin Mannix</w:t>
            </w:r>
          </w:p>
        </w:tc>
      </w:tr>
      <w:tr>
        <w:trPr>
          <w:trHeight w:val="218"/>
        </w:trPr>
        <w:tc>
          <w:tcPr>
            <w:tcW w:w="37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Erin Mannix</w:t>
            </w:r>
          </w:p>
        </w:tc>
      </w:tr>
      <w:tr>
        <w:trPr>
          <w:trHeight w:val="229"/>
        </w:trPr>
        <w:tc>
          <w:tcPr>
            <w:tcW w:w="37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34"/>
        </w:trPr>
        <w:tc>
          <w:tcPr>
            <w:tcW w:w="37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99"/>
        </w:trPr>
        <w:tc>
          <w:tcPr>
            <w:tcW w:w="3700" w:type="dxa"/>
            <w:vAlign w:val="bottom"/>
          </w:tcPr>
          <w:p>
            <w:pPr>
              <w:spacing w:after="0"/>
              <w:rPr>
                <w:sz w:val="24"/>
                <w:szCs w:val="24"/>
                <w:color w:val="auto"/>
              </w:rPr>
            </w:pPr>
          </w:p>
        </w:tc>
        <w:tc>
          <w:tcPr>
            <w:tcW w:w="28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ectPr>
          <w:pgSz w:w="11900" w:h="16838" w:orient="portrait"/>
          <w:cols w:equalWidth="0" w:num="1">
            <w:col w:w="11220"/>
          </w:cols>
          <w:pgMar w:left="320" w:top="110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 Altabef,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Unisys Corporation;</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23,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140" w:type="dxa"/>
        <w:tblCellMar>
          <w:top w:w="0" w:type="dxa"/>
          <w:left w:w="0" w:type="dxa"/>
          <w:bottom w:w="0" w:type="dxa"/>
          <w:right w:w="0" w:type="dxa"/>
        </w:tblCellMar>
      </w:tblPr>
      <w:tr>
        <w:trPr>
          <w:trHeight w:val="234"/>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A. Altabef</w:t>
            </w:r>
          </w:p>
        </w:tc>
        <w:tc>
          <w:tcPr>
            <w:tcW w:w="0" w:type="dxa"/>
            <w:vAlign w:val="bottom"/>
          </w:tcPr>
          <w:p>
            <w:pPr>
              <w:spacing w:after="0"/>
              <w:rPr>
                <w:sz w:val="1"/>
                <w:szCs w:val="1"/>
                <w:color w:val="auto"/>
              </w:rPr>
            </w:pPr>
          </w:p>
        </w:tc>
      </w:tr>
      <w:tr>
        <w:trPr>
          <w:trHeight w:val="218"/>
        </w:trPr>
        <w:tc>
          <w:tcPr>
            <w:tcW w:w="1040" w:type="dxa"/>
            <w:vAlign w:val="bottom"/>
            <w:vMerge w:val="continue"/>
          </w:tcPr>
          <w:p>
            <w:pPr>
              <w:spacing w:after="0"/>
              <w:rPr>
                <w:sz w:val="18"/>
                <w:szCs w:val="18"/>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A. Altabef</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and Chief Executive Officer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932"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Debra McCann,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Unisys Corporation;</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23,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5600" w:type="dxa"/>
        <w:tblCellMar>
          <w:top w:w="0" w:type="dxa"/>
          <w:left w:w="0" w:type="dxa"/>
          <w:bottom w:w="0" w:type="dxa"/>
          <w:right w:w="0" w:type="dxa"/>
        </w:tblCellMar>
      </w:tblPr>
      <w:tr>
        <w:trPr>
          <w:trHeight w:val="234"/>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Debra McCann</w:t>
            </w:r>
          </w:p>
        </w:tc>
        <w:tc>
          <w:tcPr>
            <w:tcW w:w="0" w:type="dxa"/>
            <w:vAlign w:val="bottom"/>
          </w:tcPr>
          <w:p>
            <w:pPr>
              <w:spacing w:after="0"/>
              <w:rPr>
                <w:sz w:val="1"/>
                <w:szCs w:val="1"/>
                <w:color w:val="auto"/>
              </w:rPr>
            </w:pPr>
          </w:p>
        </w:tc>
      </w:tr>
      <w:tr>
        <w:trPr>
          <w:trHeight w:val="218"/>
        </w:trPr>
        <w:tc>
          <w:tcPr>
            <w:tcW w:w="1040" w:type="dxa"/>
            <w:vAlign w:val="bottom"/>
            <w:vMerge w:val="continue"/>
          </w:tcPr>
          <w:p>
            <w:pPr>
              <w:spacing w:after="0"/>
              <w:rPr>
                <w:sz w:val="18"/>
                <w:szCs w:val="18"/>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Debra McCann</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89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Peter A. Altabef, Chair and Chief Executive Officer of Unisys Corporation (the “Company”), certify, pursuant to Section 906 of the Sarbanes-Oxley Act of 2002, 18 U.S.C. Section 1350, that:</w:t>
      </w:r>
    </w:p>
    <w:p>
      <w:pPr>
        <w:spacing w:after="0" w:line="162" w:lineRule="exact"/>
        <w:rPr>
          <w:sz w:val="20"/>
          <w:szCs w:val="20"/>
          <w:color w:val="auto"/>
        </w:rPr>
      </w:pPr>
    </w:p>
    <w:p>
      <w:pPr>
        <w:ind w:right="640" w:firstLine="8"/>
        <w:spacing w:after="0" w:line="28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2022 (the “Report”) fully complies with the requirements of Section 13(a) or Section 15(d) of the Securities Exchange Act of 1934 (15 U.S.C. 78m); and</w:t>
      </w:r>
    </w:p>
    <w:p>
      <w:pPr>
        <w:spacing w:after="0" w:line="161" w:lineRule="exact"/>
        <w:rPr>
          <w:rFonts w:ascii="Times New Roman" w:cs="Times New Roman" w:eastAsia="Times New Roman" w:hAnsi="Times New Roman"/>
          <w:sz w:val="18"/>
          <w:szCs w:val="18"/>
          <w:color w:val="auto"/>
        </w:rPr>
      </w:pPr>
    </w:p>
    <w:p>
      <w:pPr>
        <w:ind w:right="500" w:firstLine="8"/>
        <w:spacing w:after="0" w:line="53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23, 2022</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A. Altabef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A. Altabef</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0" w:lineRule="exact"/>
        <w:rPr>
          <w:sz w:val="20"/>
          <w:szCs w:val="20"/>
          <w:color w:val="auto"/>
        </w:rPr>
      </w:pPr>
    </w:p>
    <w:p>
      <w:pPr>
        <w:spacing w:after="0" w:line="27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140"/>
          </w:cols>
          <w:pgMar w:left="320" w:top="891"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Debra McCann, Executive Vice President and Chief Financial Officer of Unisys Corporation (the “Company”), certify, pursuant to Section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w:t>
      </w:r>
    </w:p>
    <w:p>
      <w:pPr>
        <w:spacing w:after="0" w:line="207" w:lineRule="exact"/>
        <w:rPr>
          <w:sz w:val="20"/>
          <w:szCs w:val="20"/>
          <w:color w:val="auto"/>
        </w:rPr>
      </w:pPr>
    </w:p>
    <w:p>
      <w:pPr>
        <w:ind w:right="600" w:firstLine="8"/>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2022 (the “Report”) fully complies with the requirements of Section 13(a) or Section 15(d) of the Securities Exchange Act of 1934 (15 U.S.C. 78m); and</w:t>
      </w:r>
    </w:p>
    <w:p>
      <w:pPr>
        <w:spacing w:after="0" w:line="161" w:lineRule="exact"/>
        <w:rPr>
          <w:rFonts w:ascii="Times New Roman" w:cs="Times New Roman" w:eastAsia="Times New Roman" w:hAnsi="Times New Roman"/>
          <w:sz w:val="18"/>
          <w:szCs w:val="18"/>
          <w:color w:val="auto"/>
        </w:rPr>
      </w:pPr>
    </w:p>
    <w:p>
      <w:pPr>
        <w:ind w:right="460" w:firstLine="8"/>
        <w:spacing w:after="0" w:line="53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23, 2022</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Debra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803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Debra McCann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100"/>
      </w:cols>
      <w:pgMar w:left="320" w:top="89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5"/>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5"/>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58" Type="http://schemas.openxmlformats.org/officeDocument/2006/relationships/hyperlink" Target="http://www.sec.gov/Archives/edgar/data/746838/000074683810000112/ex3restate.txt" TargetMode="External"/><Relationship Id="rId59" Type="http://schemas.openxmlformats.org/officeDocument/2006/relationships/hyperlink" Target="http://www.sec.gov/Archives/edgar/data/746838/000074683811000116/ex3-1chartamend.txt" TargetMode="External"/><Relationship Id="rId60" Type="http://schemas.openxmlformats.org/officeDocument/2006/relationships/hyperlink" Target="http://www.sec.gov/Archives/edgar/data/746838/000074683817000025/a20170428-exhibit31.htm" TargetMode="External"/><Relationship Id="rId61" Type="http://schemas.openxmlformats.org/officeDocument/2006/relationships/hyperlink" Target="http://www.sec.gov/Archives/edgar/data/746838/000074683819000070/ex31bylawsofunisyscorpor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2022-11-23T17:43:10Z</dcterms:created>
  <dcterms:modified xsi:type="dcterms:W3CDTF">2022-11-23T17:43:10Z</dcterms:modified>
</cp:coreProperties>
</file>