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left"/>
        <w:rPr/>
      </w:pPr>
      <w:r>
        <w:rPr/>
      </w:r>
    </w:p>
    <w:p>
      <w:pPr>
        <w:pStyle w:val="TextBody"/>
        <w:bidi w:val="0"/>
        <w:spacing w:lineRule="auto" w:line="240" w:before="120" w:after="283"/>
        <w:jc w:val="center"/>
        <w:rPr>
          <w:rFonts w:ascii="Times New Roman;serif" w:hAnsi="Times New Roman;serif"/>
          <w:b w:val="false"/>
          <w:color w:val="000000"/>
          <w:sz w:val="16"/>
        </w:rPr>
      </w:pPr>
      <w:r>
        <w:rPr>
          <w:rFonts w:ascii="Times New Roman;serif" w:hAnsi="Times New Roman;serif"/>
          <w:b w:val="false"/>
          <w:color w:val="000000"/>
          <w:sz w:val="16"/>
        </w:rPr>
        <w:t>As filed with the Securities and Exchange Commission on August 31, 2026</w:t>
      </w:r>
    </w:p>
    <w:p>
      <w:pPr>
        <w:pStyle w:val="TextBody"/>
        <w:bidi w:val="0"/>
        <w:spacing w:lineRule="auto" w:line="240" w:before="120" w:after="283"/>
        <w:jc w:val="right"/>
        <w:rPr>
          <w:rFonts w:ascii="Times New Roman;serif" w:hAnsi="Times New Roman;serif"/>
          <w:b w:val="false"/>
          <w:color w:val="000000"/>
          <w:sz w:val="16"/>
        </w:rPr>
      </w:pPr>
      <w:r>
        <w:rPr>
          <w:rFonts w:ascii="Times New Roman;serif" w:hAnsi="Times New Roman;serif"/>
          <w:b w:val="false"/>
          <w:color w:val="000000"/>
          <w:sz w:val="16"/>
        </w:rPr>
        <w:t xml:space="preserve">Registration No. 333-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 xml:space="preserve">UNITED STATES </w:t>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120" w:after="283"/>
        <w:jc w:val="center"/>
        <w:rPr/>
      </w:pPr>
      <w:r>
        <w:rPr/>
      </w:r>
    </w:p>
    <w:p>
      <w:pPr>
        <w:pStyle w:val="TextBody"/>
        <w:bidi w:val="0"/>
        <w:spacing w:lineRule="auto" w:line="240" w:before="120" w:after="283"/>
        <w:jc w:val="center"/>
        <w:rPr>
          <w:rFonts w:ascii="Times New Roman;serif" w:hAnsi="Times New Roman;serif"/>
          <w:b/>
          <w:color w:val="000000"/>
          <w:sz w:val="28"/>
        </w:rPr>
      </w:pPr>
      <w:r>
        <w:rPr>
          <w:rFonts w:ascii="Times New Roman;serif" w:hAnsi="Times New Roman;serif"/>
          <w:b/>
          <w:color w:val="000000"/>
          <w:sz w:val="28"/>
        </w:rPr>
        <w:t>FORM S-8</w:t>
      </w:r>
    </w:p>
    <w:p>
      <w:pPr>
        <w:pStyle w:val="TextBody"/>
        <w:bidi w:val="0"/>
        <w:spacing w:before="120" w:after="283"/>
        <w:jc w:val="center"/>
        <w:rPr/>
      </w:pPr>
      <w:r>
        <w:rPr/>
      </w:r>
    </w:p>
    <w:p>
      <w:pPr>
        <w:pStyle w:val="TextBody"/>
        <w:bidi w:val="0"/>
        <w:spacing w:lineRule="auto" w:line="240" w:before="120" w:after="283"/>
        <w:jc w:val="center"/>
        <w:rPr>
          <w:rFonts w:ascii="Times New Roman;serif" w:hAnsi="Times New Roman;serif"/>
          <w:b/>
          <w:color w:val="000000"/>
          <w:sz w:val="28"/>
        </w:rPr>
      </w:pPr>
      <w:r>
        <w:rPr>
          <w:rFonts w:ascii="Times New Roman;serif" w:hAnsi="Times New Roman;serif"/>
          <w:b/>
          <w:color w:val="000000"/>
          <w:sz w:val="28"/>
        </w:rPr>
        <w:t>REGISTRATION STATEMENT</w:t>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UNDER</w:t>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THE SECURITIES ACT OF 1933</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28"/>
        </w:rPr>
      </w:pPr>
      <w:r>
        <w:rPr>
          <w:rFonts w:ascii="Times New Roman;serif" w:hAnsi="Times New Roman;serif"/>
          <w:b/>
          <w:color w:val="000000"/>
          <w:sz w:val="28"/>
        </w:rPr>
        <w:t>UNISYS CORPORATION</w:t>
      </w:r>
    </w:p>
    <w:p>
      <w:pPr>
        <w:pStyle w:val="TextBody"/>
        <w:bidi w:val="0"/>
        <w:spacing w:lineRule="auto" w:line="288" w:before="120" w:after="283"/>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690" w:type="dxa"/>
        <w:jc w:val="center"/>
        <w:tblInd w:w="0" w:type="dxa"/>
        <w:tblLayout w:type="fixed"/>
        <w:tblCellMar>
          <w:top w:w="28" w:type="dxa"/>
          <w:left w:w="28" w:type="dxa"/>
          <w:bottom w:w="28" w:type="dxa"/>
          <w:right w:w="28" w:type="dxa"/>
        </w:tblCellMar>
      </w:tblPr>
      <w:tblGrid>
        <w:gridCol w:w="1056"/>
        <w:gridCol w:w="927"/>
        <w:gridCol w:w="941"/>
        <w:gridCol w:w="109"/>
        <w:gridCol w:w="109"/>
        <w:gridCol w:w="109"/>
        <w:gridCol w:w="420"/>
        <w:gridCol w:w="420"/>
        <w:gridCol w:w="599"/>
      </w:tblGrid>
      <w:tr>
        <w:trPr/>
        <w:tc>
          <w:tcPr>
            <w:tcW w:w="105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38-0387840</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(State or other jurisdiction </w:t>
              <w:br/>
              <w:t>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(I.R.S. Employer </w:t>
              <w:br/>
              <w:t>Identification No.)</w:t>
            </w:r>
          </w:p>
        </w:tc>
      </w:tr>
      <w:tr>
        <w:trPr/>
        <w:tc>
          <w:tcPr>
            <w:tcW w:w="2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801 Lakeview Drive, Suite 100</w:t>
              <w:br/>
              <w:t>Blue Bell, Pennsylvania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19422</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r>
        <w:trPr/>
        <w:tc>
          <w:tcPr>
            <w:tcW w:w="29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UNISYS CORPORATION 2024 LONG-TERM INCENTIVE AND EQUITY COMPENSATION PLAN</w:t>
      </w:r>
    </w:p>
    <w:p>
      <w:pPr>
        <w:pStyle w:val="TextBody"/>
        <w:bidi w:val="0"/>
        <w:spacing w:lineRule="auto" w:line="240" w:before="120" w:after="283"/>
        <w:jc w:val="center"/>
        <w:rPr>
          <w:rFonts w:ascii="Times New Roman;serif" w:hAnsi="Times New Roman;serif"/>
          <w:b w:val="false"/>
          <w:color w:val="000000"/>
          <w:sz w:val="16"/>
        </w:rPr>
      </w:pPr>
      <w:r>
        <w:rPr>
          <w:rFonts w:ascii="Times New Roman;serif" w:hAnsi="Times New Roman;serif"/>
          <w:b w:val="false"/>
          <w:color w:val="000000"/>
          <w:sz w:val="16"/>
        </w:rPr>
        <w:t>(Full title of the plan)</w:t>
      </w:r>
    </w:p>
    <w:p>
      <w:pPr>
        <w:pStyle w:val="TextBody"/>
        <w:bidi w:val="0"/>
        <w:spacing w:lineRule="auto" w:line="240"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w:t>
      </w:r>
    </w:p>
    <w:p>
      <w:pPr>
        <w:pStyle w:val="TextBody"/>
        <w:bidi w:val="0"/>
        <w:spacing w:before="60" w:after="283"/>
        <w:jc w:val="center"/>
        <w:rPr/>
      </w:pPr>
      <w:r>
        <w:rPr/>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Kristen Prohl, Esq</w:t>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Senior Vice President, General Counsel, Corporate Secretary and</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Chief Administrative Officer </w:t>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 xml:space="preserve">Unisys Corporation </w:t>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 xml:space="preserve">801 Lakeview Drive, Suite 100 </w:t>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 xml:space="preserve">Blue Bell, Pennsylvania 19422 </w:t>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 xml:space="preserve">(215) 986-4205 </w:t>
      </w:r>
    </w:p>
    <w:p>
      <w:pPr>
        <w:pStyle w:val="TextBody"/>
        <w:bidi w:val="0"/>
        <w:spacing w:lineRule="auto" w:line="240" w:before="120" w:after="283"/>
        <w:jc w:val="center"/>
        <w:rPr>
          <w:rFonts w:ascii="Times New Roman;serif" w:hAnsi="Times New Roman;serif"/>
          <w:b w:val="false"/>
          <w:color w:val="000000"/>
          <w:sz w:val="16"/>
        </w:rPr>
      </w:pPr>
      <w:r>
        <w:rPr>
          <w:rFonts w:ascii="Times New Roman;serif" w:hAnsi="Times New Roman;serif"/>
          <w:b w:val="false"/>
          <w:color w:val="000000"/>
          <w:sz w:val="16"/>
        </w:rPr>
        <w:t>(Name, address and telephone number, including area code, of agent for service)</w:t>
      </w:r>
    </w:p>
    <w:p>
      <w:pPr>
        <w:pStyle w:val="TextBody"/>
        <w:bidi w:val="0"/>
        <w:spacing w:before="60" w:after="283"/>
        <w:jc w:val="center"/>
        <w:rPr/>
      </w:pPr>
      <w:r>
        <w:rPr/>
      </w:r>
    </w:p>
    <w:p>
      <w:pPr>
        <w:pStyle w:val="TextBody"/>
        <w:bidi w:val="0"/>
        <w:spacing w:lineRule="auto" w:line="240" w:before="120" w:after="283"/>
        <w:jc w:val="center"/>
        <w:rPr>
          <w:rFonts w:ascii="Times New Roman;serif" w:hAnsi="Times New Roman;serif"/>
          <w:b/>
          <w:i/>
          <w:color w:val="000000"/>
          <w:sz w:val="20"/>
        </w:rPr>
      </w:pPr>
      <w:r>
        <w:rPr>
          <w:rFonts w:ascii="Times New Roman;serif" w:hAnsi="Times New Roman;serif"/>
          <w:b/>
          <w:i/>
          <w:color w:val="000000"/>
          <w:sz w:val="20"/>
        </w:rPr>
        <w:t xml:space="preserve">Copy to: </w:t>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Tina V. John, Esq.</w:t>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Vice President, Deputy General Counsel and Assistant Secretary</w:t>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Unisys Corporation</w:t>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801 Lakeview Drive, Suite 100</w:t>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Blue Bell, Pennsylvania 19422</w:t>
      </w:r>
    </w:p>
    <w:p>
      <w:pPr>
        <w:pStyle w:val="TextBody"/>
        <w:bidi w:val="0"/>
        <w:spacing w:lineRule="auto" w:line="240" w:before="120" w:after="283"/>
        <w:jc w:val="center"/>
        <w:rPr>
          <w:rFonts w:ascii="Times New Roman;serif" w:hAnsi="Times New Roman;serif"/>
          <w:b/>
          <w:color w:val="000000"/>
          <w:sz w:val="20"/>
        </w:rPr>
      </w:pPr>
      <w:r>
        <w:rPr>
          <w:rFonts w:ascii="Times New Roman;serif" w:hAnsi="Times New Roman;serif"/>
          <w:b/>
          <w:color w:val="000000"/>
          <w:sz w:val="20"/>
        </w:rPr>
        <w:t>(215) 986-4011</w:t>
      </w:r>
    </w:p>
    <w:p>
      <w:pPr>
        <w:pStyle w:val="TextBody"/>
        <w:bidi w:val="0"/>
        <w:spacing w:before="12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1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109"/>
        <w:gridCol w:w="109"/>
        <w:gridCol w:w="109"/>
        <w:gridCol w:w="769"/>
        <w:gridCol w:w="769"/>
        <w:gridCol w:w="773"/>
        <w:gridCol w:w="109"/>
        <w:gridCol w:w="109"/>
        <w:gridCol w:w="109"/>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r>
    </w:tbl>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REGISTRATION OF ADDITIONAL SECURITIES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Unisys Corporation (the “Registrant”) is hereby registering 3,900,000 additional shares of its common stock, par value $.01 per share, for issuance under the Registrant 2024 Long-Term Incentive and Equity Compensation Plan, as amended (the “2024 Plan”). The registration statements on Form S-8 (Registration Nos. 333-279171 and 333-288094, collectively, the “Prior Plan Registration Statements”), as filed with the Securities and Exchange Commission (the “Commission”) with respect to the 2024 Plan on May 7, 2024 and June 16, 2025, respectively, relating to the same class of securities and the same benefit are currently effective and, in accordance with General Instruction E to Form S-8, the contents of the Prior Plan Registration Statements, except to the extent supplemented, amended, or suspended by the information set forth herein, are incorporated herein by reference.</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INFORMATION REQUIRED IN THE SECTION 10(a) PROSPECTUS </w:t>
      </w:r>
    </w:p>
    <w:p>
      <w:pPr>
        <w:pStyle w:val="TextBody"/>
        <w:bidi w:val="0"/>
        <w:spacing w:lineRule="auto" w:line="288" w:before="120" w:after="283"/>
        <w:jc w:val="both"/>
        <w:rPr/>
      </w:pPr>
      <w:r>
        <w:rPr>
          <w:rFonts w:ascii="Times New Roman;serif" w:hAnsi="Times New Roman;serif"/>
          <w:b/>
          <w:color w:val="000000"/>
          <w:sz w:val="20"/>
        </w:rPr>
        <w:t>Item 1.</w:t>
      </w:r>
      <w:r>
        <w:rPr>
          <w:color w:val="000000"/>
        </w:rPr>
        <w:t>    </w:t>
      </w:r>
      <w:r>
        <w:rPr>
          <w:rFonts w:ascii="Times New Roman;serif" w:hAnsi="Times New Roman;serif"/>
          <w:b/>
          <w:color w:val="000000"/>
          <w:sz w:val="20"/>
        </w:rPr>
        <w:t>Plan Information.*</w:t>
      </w:r>
    </w:p>
    <w:p>
      <w:pPr>
        <w:pStyle w:val="TextBody"/>
        <w:bidi w:val="0"/>
        <w:spacing w:lineRule="auto" w:line="288" w:before="120" w:after="283"/>
        <w:jc w:val="both"/>
        <w:rPr/>
      </w:pPr>
      <w:r>
        <w:rPr>
          <w:rFonts w:ascii="Times New Roman;serif" w:hAnsi="Times New Roman;serif"/>
          <w:b/>
          <w:color w:val="000000"/>
          <w:sz w:val="20"/>
        </w:rPr>
        <w:t>Item 2.</w:t>
      </w:r>
      <w:r>
        <w:rPr>
          <w:color w:val="000000"/>
        </w:rPr>
        <w:t>    </w:t>
      </w:r>
      <w:r>
        <w:rPr>
          <w:rFonts w:ascii="Times New Roman;serif" w:hAnsi="Times New Roman;serif"/>
          <w:b/>
          <w:color w:val="000000"/>
          <w:sz w:val="20"/>
        </w:rPr>
        <w:t>Registrant Information and Employee Plan Annual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As permitted by Rule 428 under the Securities Act of 1933, as amended (the “Securities Act”), this Registration Statement omits the information specified in Part I of Form S-8. The documents containing the information specified in Part I will be delivered to the participants in the 2024 Plan as required by Rule 428(b)(1). Such documents are not being filed with the Commission as part of this Registration Statement or as prospectuses or prospectus supplements pursuant to Rule 424(b) under the Securities Act.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Upon written or oral request, any of the documents incorporated by reference in Item 3 of Part II of this Registration Statement on Form S-8 (which documents are incorporated by reference in this Section 10(a) Prospectus), and other documents required to be delivered to eligible executive officers, non-employee directors and employees, pursuant to Rule 428(b) under the Securities Act are available without charge by contacting Investor Relations, Unisys Corporation, 801 Lakeview Drive, Suite 100, Blue Bell, Pennsylvania 19422 or at investor@unisys.com.</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INFORMATION REQUIRED IN THE REGISTRATION STATEMENT</w:t>
      </w:r>
    </w:p>
    <w:p>
      <w:pPr>
        <w:pStyle w:val="TextBody"/>
        <w:bidi w:val="0"/>
        <w:spacing w:lineRule="auto" w:line="288" w:before="120" w:after="283"/>
        <w:jc w:val="both"/>
        <w:rPr/>
      </w:pPr>
      <w:r>
        <w:rPr>
          <w:rFonts w:ascii="Times New Roman;serif" w:hAnsi="Times New Roman;serif"/>
          <w:b/>
          <w:color w:val="000000"/>
          <w:sz w:val="20"/>
        </w:rPr>
        <w:t>Item 3.</w:t>
      </w:r>
      <w:r>
        <w:rPr>
          <w:color w:val="000000"/>
        </w:rPr>
        <w:t>    </w:t>
      </w:r>
      <w:r>
        <w:rPr>
          <w:rFonts w:ascii="Times New Roman;serif" w:hAnsi="Times New Roman;serif"/>
          <w:b/>
          <w:color w:val="000000"/>
          <w:sz w:val="20"/>
        </w:rPr>
        <w:t>Incorporation of Documents by Reference.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By this reference, the following documents filed or to be filed by Registrant with the Commission are incorporated into and made a part of this Registration Statement:</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6"/>
        <w:gridCol w:w="2885"/>
        <w:gridCol w:w="408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6"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8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1.</w:t>
            </w:r>
          </w:p>
        </w:tc>
        <w:tc>
          <w:tcPr>
            <w:tcW w:w="9863"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val="false"/>
                <w:color w:val="000000"/>
                <w:sz w:val="20"/>
              </w:rPr>
              <w:t xml:space="preserve">The Registrant’s Annual Report on Form 10-K for the year ended December 31, 2025 filed with the Commission on </w:t>
            </w:r>
            <w:hyperlink r:id="rId2">
              <w:r>
                <w:rPr>
                  <w:rStyle w:val="InternetLink"/>
                  <w:rFonts w:ascii="Times New Roman;serif" w:hAnsi="Times New Roman;serif"/>
                  <w:b w:val="false"/>
                  <w:color w:val="0000FF"/>
                  <w:sz w:val="20"/>
                  <w:u w:val="single"/>
                </w:rPr>
                <w:t>February 25, 2026</w:t>
              </w:r>
            </w:hyperlink>
            <w:r>
              <w:rPr>
                <w:color w:val="000000"/>
              </w:rPr>
              <w:t xml:space="preserve"> </w:t>
            </w:r>
            <w:r>
              <w:rPr>
                <w:rFonts w:ascii="Times New Roman;serif" w:hAnsi="Times New Roman;serif"/>
                <w:b w:val="false"/>
                <w:color w:val="000000"/>
                <w:sz w:val="20"/>
              </w:rPr>
              <w:t>(the “Annual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val="false"/>
                <w:color w:val="000000"/>
                <w:sz w:val="20"/>
              </w:rPr>
              <w:t xml:space="preserve">The Registrant’s Quarterly Reports on Form 10-Q for the periods ended March 31, 2026, filed with the Commission on </w:t>
            </w:r>
            <w:hyperlink r:id="rId3">
              <w:r>
                <w:rPr>
                  <w:rStyle w:val="InternetLink"/>
                  <w:rFonts w:ascii="Times New Roman;serif" w:hAnsi="Times New Roman;serif"/>
                  <w:b w:val="false"/>
                  <w:color w:val="0000FF"/>
                  <w:sz w:val="20"/>
                  <w:u w:val="single"/>
                </w:rPr>
                <w:t>May 6, 2026</w:t>
              </w:r>
            </w:hyperlink>
            <w:r>
              <w:rPr>
                <w:rFonts w:ascii="Times New Roman;serif" w:hAnsi="Times New Roman;serif"/>
                <w:b w:val="false"/>
                <w:color w:val="000000"/>
                <w:sz w:val="20"/>
              </w:rPr>
              <w:t xml:space="preserve">, and June 30, 2026, filed with the Commission on </w:t>
            </w:r>
            <w:hyperlink r:id="rId4">
              <w:r>
                <w:rPr>
                  <w:rStyle w:val="InternetLink"/>
                  <w:rFonts w:ascii="Times New Roman;serif" w:hAnsi="Times New Roman;serif"/>
                  <w:b w:val="false"/>
                  <w:color w:val="0000FF"/>
                  <w:sz w:val="20"/>
                  <w:u w:val="single"/>
                </w:rPr>
                <w:t>July 30, 2026</w:t>
              </w:r>
            </w:hyperlink>
            <w:r>
              <w:rPr>
                <w:rFonts w:ascii="Times New Roman;serif" w:hAnsi="Times New Roman;serif"/>
                <w:b w:val="false"/>
                <w:color w:val="000000"/>
                <w:sz w:val="20"/>
              </w:rPr>
              <w: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val="false"/>
                <w:color w:val="000000"/>
                <w:sz w:val="20"/>
              </w:rPr>
              <w:t xml:space="preserve">The portions of the Registrant’s Definitive Proxy Statement on Schedule 14A, filed with the Commission on </w:t>
            </w:r>
            <w:hyperlink r:id="rId5">
              <w:r>
                <w:rPr>
                  <w:rStyle w:val="InternetLink"/>
                  <w:rFonts w:ascii="Times New Roman;serif" w:hAnsi="Times New Roman;serif"/>
                  <w:b w:val="false"/>
                  <w:color w:val="0000FF"/>
                  <w:sz w:val="20"/>
                  <w:u w:val="single"/>
                </w:rPr>
                <w:t>March 16, 2026</w:t>
              </w:r>
            </w:hyperlink>
            <w:r>
              <w:rPr>
                <w:rFonts w:ascii="Times New Roman;serif" w:hAnsi="Times New Roman;serif"/>
                <w:b w:val="false"/>
                <w:color w:val="000000"/>
                <w:sz w:val="20"/>
              </w:rPr>
              <w:t>, that are incorporated by reference into the Annual Report;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4.</w:t>
            </w:r>
          </w:p>
        </w:tc>
        <w:tc>
          <w:tcPr>
            <w:tcW w:w="9863"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val="false"/>
                <w:color w:val="000000"/>
                <w:sz w:val="20"/>
              </w:rPr>
              <w:t xml:space="preserve">The Registrant’s Current Reports on Form 8-K filed with the Commission on </w:t>
            </w:r>
            <w:hyperlink r:id="rId6">
              <w:r>
                <w:rPr>
                  <w:rStyle w:val="InternetLink"/>
                  <w:rFonts w:ascii="Times New Roman;serif" w:hAnsi="Times New Roman;serif"/>
                  <w:b w:val="false"/>
                  <w:color w:val="0000FF"/>
                  <w:sz w:val="20"/>
                  <w:u w:val="single"/>
                </w:rPr>
                <w:t>February 24, 2026</w:t>
              </w:r>
            </w:hyperlink>
            <w:r>
              <w:rPr>
                <w:color w:val="000000"/>
              </w:rPr>
              <w:t xml:space="preserve"> </w:t>
            </w:r>
            <w:r>
              <w:rPr>
                <w:rFonts w:ascii="Times New Roman;serif" w:hAnsi="Times New Roman;serif"/>
                <w:b w:val="false"/>
                <w:color w:val="000000"/>
                <w:sz w:val="20"/>
              </w:rPr>
              <w:t xml:space="preserve">and </w:t>
            </w:r>
            <w:hyperlink r:id="rId7">
              <w:r>
                <w:rPr>
                  <w:rStyle w:val="InternetLink"/>
                  <w:rFonts w:ascii="Times New Roman;serif" w:hAnsi="Times New Roman;serif"/>
                  <w:b w:val="false"/>
                  <w:color w:val="0000FF"/>
                  <w:sz w:val="20"/>
                  <w:u w:val="single"/>
                </w:rPr>
                <w:t>May 4, 2026</w:t>
              </w:r>
            </w:hyperlink>
            <w:r>
              <w:rPr>
                <w:color w:val="000000"/>
              </w:rPr>
              <w:t xml:space="preserve"> </w:t>
            </w:r>
            <w:r>
              <w:rPr>
                <w:rFonts w:ascii="Times New Roman;serif" w:hAnsi="Times New Roman;serif"/>
                <w:b w:val="false"/>
                <w:color w:val="000000"/>
                <w:sz w:val="20"/>
              </w:rPr>
              <w:t>(in each case other than portions of those documents deemed to be furnished and not filed);</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5.</w:t>
            </w:r>
          </w:p>
        </w:tc>
        <w:tc>
          <w:tcPr>
            <w:tcW w:w="9863"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All other reports filed by the Registrant pursuant to Section 13(a) or 15(d) of the Exchange Act since the end the fiscal year covered by the Annual Report;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6.</w:t>
            </w:r>
          </w:p>
        </w:tc>
        <w:tc>
          <w:tcPr>
            <w:tcW w:w="9863"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rPr>
                <w:rFonts w:ascii="Times New Roman;serif" w:hAnsi="Times New Roman;serif"/>
                <w:b w:val="false"/>
                <w:color w:val="000000"/>
                <w:sz w:val="20"/>
              </w:rPr>
              <w:t xml:space="preserve">The description of the Registrant’s common stock, par value $.01 per share (“Common Stock”), contained in Exhibit 1 to its Registration Statement on Form 8-A, dated March 11, 1986, as updated by </w:t>
            </w:r>
            <w:hyperlink r:id="rId8">
              <w:r>
                <w:rPr>
                  <w:rStyle w:val="InternetLink"/>
                  <w:rFonts w:ascii="Times New Roman;serif" w:hAnsi="Times New Roman;serif"/>
                  <w:b w:val="false"/>
                  <w:color w:val="0000FF"/>
                  <w:sz w:val="20"/>
                  <w:u w:val="single"/>
                </w:rPr>
                <w:t>Exhibit 4.5</w:t>
              </w:r>
            </w:hyperlink>
            <w:r>
              <w:rPr>
                <w:color w:val="000000"/>
              </w:rPr>
              <w:t xml:space="preserve"> </w:t>
            </w:r>
            <w:r>
              <w:rPr>
                <w:rFonts w:ascii="Times New Roman;serif" w:hAnsi="Times New Roman;serif"/>
                <w:b w:val="false"/>
                <w:color w:val="000000"/>
                <w:sz w:val="20"/>
              </w:rPr>
              <w:t>to the Registrant’s Annual Report on Form 10-K for the year ended December 31, 2020, filed with the Commission on February 26, 2021, together with any subsequent amendment or report filed for the purpose of updating such description.</w:t>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all documents filed by the Registrant pursuant to Sections 13(a), 13(c), 14 and 15(d) of the Securities Exchange Act of 1934, as amended, (the “Exchange Act”) subsequent to the date of this Registration Statement and prior to the filing of a post-effective amendment to this Registration Statement which indicates that all shares of </w:t>
      </w:r>
    </w:p>
    <w:p>
      <w:pPr>
        <w:pStyle w:val="TextBody"/>
        <w:bidi w:val="0"/>
        <w:spacing w:before="12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51460"/>
                <wp:effectExtent l="0" t="0" r="0" b="0"/>
                <wp:wrapNone/>
                <wp:docPr id="3" name="Frame3"/>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Common Stock offered hereby have been sold or which deregisters any shares of such Common Stock then remaining unsold, shall also be deemed to be incorporated by reference into this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contained in this Registration Statement shall be deemed to be modified or superseded to the extent that a statement contained in a subsequently filed document which is or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Notwithstanding the above, information that is “furnished” to the Commission shall not be deemed “filed with” the Commission and shall not be deemed incorporated by reference into this Registration Statement.</w:t>
      </w:r>
    </w:p>
    <w:p>
      <w:pPr>
        <w:pStyle w:val="TextBody"/>
        <w:bidi w:val="0"/>
        <w:spacing w:lineRule="auto" w:line="288" w:before="120" w:after="283"/>
        <w:jc w:val="both"/>
        <w:rPr>
          <w:rFonts w:ascii="Times New Roman;serif" w:hAnsi="Times New Roman;serif"/>
          <w:b/>
          <w:color w:val="000000"/>
          <w:sz w:val="22"/>
        </w:rPr>
      </w:pPr>
      <w:r>
        <w:rPr>
          <w:rFonts w:ascii="Times New Roman;serif" w:hAnsi="Times New Roman;serif"/>
          <w:b/>
          <w:color w:val="000000"/>
          <w:sz w:val="22"/>
        </w:rPr>
        <w:t>Item 4. Description of Securities.</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Not applicable.</w:t>
      </w:r>
    </w:p>
    <w:p>
      <w:pPr>
        <w:pStyle w:val="TextBody"/>
        <w:bidi w:val="0"/>
        <w:spacing w:lineRule="auto" w:line="288" w:before="120" w:after="283"/>
        <w:jc w:val="both"/>
        <w:rPr>
          <w:rFonts w:ascii="Times New Roman;serif" w:hAnsi="Times New Roman;serif"/>
          <w:b/>
          <w:color w:val="000000"/>
          <w:sz w:val="22"/>
        </w:rPr>
      </w:pPr>
      <w:r>
        <w:rPr>
          <w:rFonts w:ascii="Times New Roman;serif" w:hAnsi="Times New Roman;serif"/>
          <w:b/>
          <w:color w:val="000000"/>
          <w:sz w:val="22"/>
        </w:rPr>
        <w:t>Item 5. Interests of Named Experts and Counsel.</w:t>
      </w:r>
    </w:p>
    <w:p>
      <w:pPr>
        <w:pStyle w:val="TextBody"/>
        <w:bidi w:val="0"/>
        <w:spacing w:lineRule="auto" w:line="240" w:before="120" w:after="283"/>
        <w:jc w:val="both"/>
        <w:rPr>
          <w:rFonts w:ascii="Times New Roman;serif" w:hAnsi="Times New Roman;serif"/>
          <w:b w:val="false"/>
          <w:color w:val="000000"/>
          <w:sz w:val="22"/>
        </w:rPr>
      </w:pPr>
      <w:r>
        <w:rPr>
          <w:rFonts w:ascii="Times New Roman;serif" w:hAnsi="Times New Roman;serif"/>
          <w:b w:val="false"/>
          <w:color w:val="000000"/>
          <w:sz w:val="22"/>
        </w:rPr>
        <w:t>Not applicable.</w:t>
      </w:r>
    </w:p>
    <w:p>
      <w:pPr>
        <w:pStyle w:val="TextBody"/>
        <w:bidi w:val="0"/>
        <w:spacing w:lineRule="auto" w:line="240" w:before="120" w:after="283"/>
        <w:jc w:val="both"/>
        <w:rPr>
          <w:rFonts w:ascii="Times New Roman;serif" w:hAnsi="Times New Roman;serif"/>
          <w:b/>
          <w:color w:val="000000"/>
          <w:sz w:val="22"/>
        </w:rPr>
      </w:pPr>
      <w:r>
        <w:rPr>
          <w:rFonts w:ascii="Times New Roman;serif" w:hAnsi="Times New Roman;serif"/>
          <w:b/>
          <w:color w:val="000000"/>
          <w:sz w:val="22"/>
        </w:rPr>
        <w:t>Item 6. Indemnification of Directors and Officers.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Section 145 of the Delaware General Corporation Law (the “DGCL”) provides, among other things:</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for permissive indemnification for expenses, judgments, fines and amounts paid in settlement actually and reasonably incurred by designated persons, including directors and officers of a corporation, in the event such persons are parties to litigation other than stockholder derivative actions if certain conditions are met;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for permissive indemnification for expenses actually and reasonably incurred by designated persons, including directors and officers of a corporation, in the event such persons are parties to stockholder derivative actions if certain conditions are met;</w:t>
      </w:r>
    </w:p>
    <w:p>
      <w:pPr>
        <w:pStyle w:val="TextBody"/>
        <w:bidi w:val="0"/>
        <w:spacing w:lineRule="auto" w:line="288" w:before="120" w:after="283"/>
        <w:ind w:left="0" w:right="0" w:hanging="360"/>
        <w:jc w:val="both"/>
        <w:rPr/>
      </w:pPr>
      <w:r>
        <w:rPr>
          <w:color w:val="000000"/>
        </w:rPr>
        <w:t>•</w:t>
      </w:r>
      <w:r>
        <w:rPr>
          <w:rFonts w:ascii="Times New Roman;serif" w:hAnsi="Times New Roman;serif"/>
          <w:b w:val="false"/>
          <w:color w:val="000000"/>
          <w:sz w:val="20"/>
        </w:rPr>
        <w:t>for mandatory indemnification for expenses actually and reasonably incurred by designated persons, including directors and officers of a corporation, in the event such persons are successful on the merits or otherwise in litigation covered by the two preceding bullet points; and</w:t>
      </w:r>
    </w:p>
    <w:p>
      <w:pPr>
        <w:pStyle w:val="TextBody"/>
        <w:bidi w:val="0"/>
        <w:spacing w:lineRule="auto" w:line="276" w:before="0" w:after="0"/>
        <w:ind w:left="0" w:right="0" w:hanging="360"/>
        <w:jc w:val="both"/>
        <w:rPr/>
      </w:pPr>
      <w:r>
        <w:rPr>
          <w:color w:val="000000"/>
        </w:rPr>
        <w:t>•</w:t>
      </w:r>
      <w:r>
        <w:rPr>
          <w:rFonts w:ascii="Times New Roman;serif" w:hAnsi="Times New Roman;serif"/>
          <w:b w:val="false"/>
          <w:color w:val="000000"/>
          <w:sz w:val="20"/>
        </w:rPr>
        <w:t>that the indemnification provided for by Section 145 shall not be deemed exclusive of any other rights which may be provided under any by-law, agreement, stockholder or disinterested director vote, or otherwise.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Amended and Restated Certificate of Incorporation, as amended (the “Certificate of Incorporation”) provides that a director or officer of the Company shall not be personally liable to the Company or its stockholders for monetary damages for breach of fiduciary duty as a director or officer of the Company to the fullest extent permitted by the DGCL.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Certificate of Incorporation also provides that each person who was or is made a party to, or is involved in, any action, suit or proceeding by reason of the fact that he or she is or was a director or officer of the Company (or was serving at the request of the Company as a director, officer, employee or agent for another entity) shall be indemnified and held harmless by the Company, to the fullest extent authorized by the DGCL, as in effect (or, to the extent indemnification is broadened, as it may be amended) against all expense, liability or loss reasonably incurred by such person in connection therewith. The Certificate of Incorporation further provides that such rights to indemnification are contract rights and shall include the right to be paid by the Company the expenses incurred in defending the proceedings specified above, in advance of their final disposition, provided that, if the DGCL so requires, such payment shall only be made upon delivery to the Company by the indemnified party of an undertaking to repay all amounts so advanced if it shall ultimately be determined that the person receiving such payment is not entitled to be indemnified. Persons so indemnified may bring suit against the Company to recover unpaid amounts, and if the suit is successful, the Company shall reimburse the indemnified party for the expense of bringing the suit. The Certificate of Incorporation provides that the right to indemnification and to the advance </w:t>
      </w:r>
    </w:p>
    <w:p>
      <w:pPr>
        <w:pStyle w:val="TextBody"/>
        <w:bidi w:val="0"/>
        <w:spacing w:before="12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51460"/>
                <wp:effectExtent l="0" t="0" r="0" b="0"/>
                <wp:wrapNone/>
                <wp:docPr id="4" name="Frame4"/>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payment of expenses shall not be exclusive of any other right which any person may have or acquire under any statute, provision of the Certificate of Incorporation or the Company’s By-Laws, as amended (the “By-Laws”) or otherwise. The Certificate of Incorporation also allows the Board of Directors to indemnify and hold harmless employees and agents of the Company or any person serving as a director, officer, employee or agent of another enterprise at the request of the Company. The Certificate of Incorporation also provides that the Company may maintain insurance, at its expense, to protect itself and any of its directors, officers, employees or agents against any expense, liability or loss, whether or not the Company would have the power to indemnify such person against such expense, liability or loss under the DGCL.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April 28, 1988, at the Company’s 1988 Annual Meeting of Stockholders, the stockholders authorized the Company to enter into indemnification agreements with its directors, and such indemnification agreements have been executed with each of the directors of the Company. The indemnification agreements provide that the Company shall, except in certain situations specified below, indemnify a director against any expense, liability or loss (including attorneys’ fees, judgments, fines, ERISA excise taxes or penalties and amounts paid in settlement) incurred by the director in connection with any actual or threatened action, suit or proceeding (including derivative suits) in which the director may be involved as a party or otherwise, by reason of the fact that the director is or was serving in one or more capacities as a director or officer of the Company or, at the request of the Company, as a director, officer, employee or agent of another corporation, partnership, joint venture, trust, employee benefit plan or other entity or enterprise.</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indemnification agreements require indemnification except to the extent (i) payment for any liability is made under an insurance policy provided by the Company, (ii) indemnification is provided by the Company under the Certificate of Incorporation or the By-Laws, the DGCL or otherwise than pursuant to the indemnification agreement, (iii) the liability is based upon or attributable to the director gaining any personal pecuniary profit to which such director is not legally entitled or is determined to result from the director’s knowingly fraudulent, dishonest or willful misconduct, (iv) the liability arises out of the violation of certain provisions of the Exchange Act, or (v) indemnification has been determined not to be permitted by applicable law.</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indemnification agreements further provide that, in the event of a Potential Change in Control (as defined therein), the Company shall cause to be maintained any then existing policies of directors’ and officers’ liability insurance for a period of six years from the date of a Change in Control (as defined therein) with coverage at least comparable to and in the same amounts as that provided by such policies in effect immediately prior to such Potential Change in Control. In the event of a Potential Change in Control, the indemnification agreements also provide for the establishment by the Company of a trust, for the benefit of each director, upon the written request by the director. The trust shall be funded by the Company in amounts sufficient to satisfy any and all liabilities reasonably anticipated at the time of such request, as agreed upon by the director and the Company.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indemnification agreements also provide that no legal actions may be brought by or on behalf of the Company, or any affiliate of the Company, against a director after the expiration of two years from the date of accrual of such cause of action, and that any claim or cause of action of the Company or its affiliate shall be extinguished and deemed released unless asserted by the timely filing of a legal action within such two year period. The directors and officers of the Company are insured against certain civil liabilities, including liabilities under federal securities laws, which might be incurred by them in such capacity.</w:t>
      </w:r>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 xml:space="preserve">Item 7. Exemption From Registration Claimed. </w:t>
      </w:r>
    </w:p>
    <w:p>
      <w:pPr>
        <w:pStyle w:val="TextBody"/>
        <w:bidi w:val="0"/>
        <w:spacing w:lineRule="auto" w:line="288" w:before="120" w:after="283"/>
        <w:jc w:val="both"/>
        <w:rPr>
          <w:rFonts w:ascii="Times New Roman;serif" w:hAnsi="Times New Roman;serif"/>
          <w:b w:val="false"/>
          <w:color w:val="000000"/>
          <w:sz w:val="22"/>
        </w:rPr>
      </w:pPr>
      <w:r>
        <w:rPr>
          <w:rFonts w:ascii="Times New Roman;serif" w:hAnsi="Times New Roman;serif"/>
          <w:b w:val="false"/>
          <w:color w:val="000000"/>
          <w:sz w:val="22"/>
        </w:rPr>
        <w:t xml:space="preserve">Not applicable. </w:t>
      </w:r>
    </w:p>
    <w:p>
      <w:pPr>
        <w:pStyle w:val="TextBody"/>
        <w:bidi w:val="0"/>
        <w:spacing w:before="120" w:after="283"/>
        <w:jc w:val="both"/>
        <w:rPr/>
      </w:pPr>
      <w:r>
        <w:rPr/>
      </w:r>
    </w:p>
    <w:p>
      <w:pPr>
        <w:pStyle w:val="TextBody"/>
        <w:bidi w:val="0"/>
        <w:spacing w:before="12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51460"/>
                <wp:effectExtent l="0" t="0" r="0" b="0"/>
                <wp:wrapNone/>
                <wp:docPr id="5" name="Frame5"/>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40" w:before="120" w:after="283"/>
        <w:jc w:val="both"/>
        <w:rPr/>
      </w:pPr>
      <w:r>
        <w:rPr>
          <w:rFonts w:ascii="Times New Roman;serif" w:hAnsi="Times New Roman;serif"/>
          <w:b/>
          <w:color w:val="000000"/>
          <w:sz w:val="22"/>
        </w:rPr>
        <w:t>Item</w:t>
      </w:r>
      <w:r>
        <w:rPr>
          <w:color w:val="000000"/>
        </w:rPr>
        <w:t xml:space="preserve"> </w:t>
      </w:r>
      <w:r>
        <w:rPr>
          <w:rFonts w:ascii="Times New Roman;serif" w:hAnsi="Times New Roman;serif"/>
          <w:b/>
          <w:color w:val="000000"/>
          <w:sz w:val="22"/>
        </w:rPr>
        <w:t>8.</w:t>
      </w:r>
      <w:r>
        <w:rPr>
          <w:color w:val="000000"/>
        </w:rPr>
        <w:t>    </w:t>
      </w:r>
      <w:r>
        <w:rPr>
          <w:rFonts w:ascii="Times New Roman;serif" w:hAnsi="Times New Roman;serif"/>
          <w:b/>
          <w:color w:val="000000"/>
          <w:sz w:val="22"/>
        </w:rPr>
        <w:t>Exhibits.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 following exhibits have been filed as a part of this Registration Statement and are specifically incorporated by reference:</w:t>
      </w:r>
    </w:p>
    <w:tbl>
      <w:tblPr>
        <w:tblW w:w="10205" w:type="dxa"/>
        <w:jc w:val="left"/>
        <w:tblInd w:w="0" w:type="dxa"/>
        <w:tblLayout w:type="fixed"/>
        <w:tblCellMar>
          <w:top w:w="28" w:type="dxa"/>
          <w:left w:w="28" w:type="dxa"/>
          <w:bottom w:w="28" w:type="dxa"/>
          <w:right w:w="28" w:type="dxa"/>
        </w:tblCellMar>
      </w:tblPr>
      <w:tblGrid>
        <w:gridCol w:w="373"/>
        <w:gridCol w:w="329"/>
        <w:gridCol w:w="330"/>
        <w:gridCol w:w="2715"/>
        <w:gridCol w:w="2670"/>
        <w:gridCol w:w="3788"/>
      </w:tblGrid>
      <w:tr>
        <w:trPr/>
        <w:tc>
          <w:tcPr>
            <w:tcW w:w="37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670" w:type="dxa"/>
            <w:tcBorders/>
            <w:vAlign w:val="center"/>
          </w:tcPr>
          <w:p>
            <w:pPr>
              <w:pStyle w:val="TableContents"/>
              <w:bidi w:val="0"/>
              <w:spacing w:before="0" w:after="283"/>
              <w:jc w:val="left"/>
              <w:rPr>
                <w:sz w:val="4"/>
                <w:szCs w:val="4"/>
              </w:rPr>
            </w:pPr>
            <w:r>
              <w:rPr>
                <w:sz w:val="4"/>
                <w:szCs w:val="4"/>
              </w:rPr>
            </w:r>
          </w:p>
        </w:tc>
        <w:tc>
          <w:tcPr>
            <w:tcW w:w="3788" w:type="dxa"/>
            <w:tcBorders/>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Exhibit Number</w:t>
            </w:r>
          </w:p>
        </w:tc>
        <w:tc>
          <w:tcPr>
            <w:tcW w:w="917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1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9173"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r:id="rId9">
              <w:r>
                <w:rPr>
                  <w:rStyle w:val="InternetLink"/>
                  <w:rFonts w:ascii="Times New Roman;serif" w:hAnsi="Times New Roman;serif"/>
                  <w:b w:val="false"/>
                  <w:color w:val="0000FF"/>
                  <w:sz w:val="20"/>
                  <w:u w:val="single"/>
                </w:rPr>
                <w:t>Amended and Restated Certificate of Incorporation of Unisys Corporation (incorporated by reference to the Company’s Current Report on Form 8-K filed on May 14, 2025)</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9173"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r:id="rId10">
              <w:r>
                <w:rPr>
                  <w:rStyle w:val="InternetLink"/>
                  <w:rFonts w:ascii="Times New Roman;serif" w:hAnsi="Times New Roman;serif"/>
                  <w:b w:val="false"/>
                  <w:color w:val="000080"/>
                  <w:sz w:val="20"/>
                  <w:u w:val="single"/>
                </w:rPr>
                <w:t>C</w:t>
              </w:r>
            </w:hyperlink>
            <w:hyperlink r:id="rId11">
              <w:r>
                <w:rPr>
                  <w:rStyle w:val="InternetLink"/>
                  <w:rFonts w:ascii="Times New Roman;serif" w:hAnsi="Times New Roman;serif"/>
                  <w:b w:val="false"/>
                  <w:color w:val="000080"/>
                  <w:sz w:val="20"/>
                  <w:u w:val="single"/>
                </w:rPr>
                <w:t xml:space="preserve">ertificate of Correction of the Amended </w:t>
              </w:r>
            </w:hyperlink>
            <w:hyperlink r:id="rId12">
              <w:r>
                <w:rPr>
                  <w:rStyle w:val="InternetLink"/>
                  <w:rFonts w:ascii="Times New Roman;serif" w:hAnsi="Times New Roman;serif"/>
                  <w:b w:val="false"/>
                  <w:color w:val="000080"/>
                  <w:sz w:val="20"/>
                  <w:u w:val="single"/>
                </w:rPr>
                <w:t xml:space="preserve">&amp; Restated Certificate of Incorporation of Unisys Corporation, effective as of November 25, 2025 (incorporated by reference to Exhibit </w:t>
              </w:r>
            </w:hyperlink>
            <w:hyperlink r:id="rId13">
              <w:r>
                <w:rPr>
                  <w:rStyle w:val="InternetLink"/>
                  <w:rFonts w:ascii="Times New Roman;serif" w:hAnsi="Times New Roman;serif"/>
                  <w:b w:val="false"/>
                  <w:color w:val="000080"/>
                  <w:sz w:val="20"/>
                  <w:u w:val="single"/>
                </w:rPr>
                <w:t>3.1 to the Company</w:t>
              </w:r>
            </w:hyperlink>
            <w:hyperlink r:id="rId14">
              <w:r>
                <w:rPr>
                  <w:rStyle w:val="InternetLink"/>
                  <w:rFonts w:ascii="Times New Roman;serif" w:hAnsi="Times New Roman;serif"/>
                  <w:b w:val="false"/>
                  <w:color w:val="000080"/>
                  <w:sz w:val="20"/>
                  <w:u w:val="single"/>
                </w:rPr>
                <w:t>’</w:t>
              </w:r>
            </w:hyperlink>
            <w:hyperlink r:id="rId15">
              <w:r>
                <w:rPr>
                  <w:rStyle w:val="InternetLink"/>
                  <w:rFonts w:ascii="Times New Roman;serif" w:hAnsi="Times New Roman;serif"/>
                  <w:b w:val="false"/>
                  <w:color w:val="000080"/>
                  <w:sz w:val="20"/>
                  <w:u w:val="single"/>
                </w:rPr>
                <w:t>s Current Report on Form 8-K filed November 28, 2025)</w:t>
              </w:r>
            </w:hyperlink>
          </w:p>
        </w:tc>
      </w:tr>
      <w:tr>
        <w:trPr/>
        <w:tc>
          <w:tcPr>
            <w:tcW w:w="10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9173"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r:id="rId16">
              <w:r>
                <w:rPr>
                  <w:rStyle w:val="InternetLink"/>
                  <w:rFonts w:ascii="Times New Roman;serif" w:hAnsi="Times New Roman;serif"/>
                  <w:b w:val="false"/>
                  <w:color w:val="000080"/>
                  <w:sz w:val="20"/>
                  <w:u w:val="single"/>
                </w:rPr>
                <w:t>A</w:t>
              </w:r>
            </w:hyperlink>
            <w:hyperlink r:id="rId17">
              <w:r>
                <w:rPr>
                  <w:rStyle w:val="InternetLink"/>
                  <w:rFonts w:ascii="Times New Roman;serif" w:hAnsi="Times New Roman;serif"/>
                  <w:b w:val="false"/>
                  <w:color w:val="000080"/>
                  <w:sz w:val="20"/>
                  <w:u w:val="single"/>
                </w:rPr>
                <w:t xml:space="preserve">mended </w:t>
              </w:r>
            </w:hyperlink>
            <w:hyperlink r:id="rId18">
              <w:r>
                <w:rPr>
                  <w:rStyle w:val="InternetLink"/>
                  <w:rFonts w:ascii="Times New Roman;serif" w:hAnsi="Times New Roman;serif"/>
                  <w:b w:val="false"/>
                  <w:color w:val="000080"/>
                  <w:sz w:val="20"/>
                  <w:u w:val="single"/>
                </w:rPr>
                <w:t>&amp; Restated By-Laws of Unisys Corporation, effective as of November 25, 2025 (incorporated by reference to Exhibit 3.2 to the Company</w:t>
              </w:r>
            </w:hyperlink>
            <w:hyperlink r:id="rId19">
              <w:r>
                <w:rPr>
                  <w:rStyle w:val="InternetLink"/>
                  <w:rFonts w:ascii="Times New Roman;serif" w:hAnsi="Times New Roman;serif"/>
                  <w:b w:val="false"/>
                  <w:color w:val="000080"/>
                  <w:sz w:val="20"/>
                  <w:u w:val="single"/>
                </w:rPr>
                <w:t>’</w:t>
              </w:r>
            </w:hyperlink>
            <w:hyperlink r:id="rId20">
              <w:r>
                <w:rPr>
                  <w:rStyle w:val="InternetLink"/>
                  <w:rFonts w:ascii="Times New Roman;serif" w:hAnsi="Times New Roman;serif"/>
                  <w:b w:val="false"/>
                  <w:color w:val="000080"/>
                  <w:sz w:val="20"/>
                  <w:u w:val="single"/>
                </w:rPr>
                <w:t>s Current Report on Form 8-K filed November 28, 2025)</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4.4</w:t>
            </w:r>
          </w:p>
        </w:tc>
        <w:tc>
          <w:tcPr>
            <w:tcW w:w="9173"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r:id="rId21">
              <w:r>
                <w:rPr>
                  <w:rStyle w:val="InternetLink"/>
                  <w:rFonts w:ascii="Times New Roman;serif" w:hAnsi="Times New Roman;serif"/>
                  <w:b w:val="false"/>
                  <w:color w:val="0000FF"/>
                  <w:sz w:val="20"/>
                  <w:u w:val="single"/>
                </w:rPr>
                <w:t>Specimen Stock Certificate representing the Company’s common stock, par value $.01 share (incorporated by reference to Exhibit 4.9 to the Company’s Form S-3 filed on June 12, 2018)</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9173"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a2026ex51troutmanpepperloc.htm">
              <w:r>
                <w:rPr>
                  <w:rStyle w:val="InternetLink"/>
                  <w:rFonts w:ascii="Times New Roman;serif" w:hAnsi="Times New Roman;serif"/>
                  <w:b w:val="false"/>
                  <w:color w:val="0000FF"/>
                  <w:sz w:val="20"/>
                  <w:u w:val="single"/>
                </w:rPr>
                <w:t>Opinion of Troutman Pepper Locke LLP with respect to the validity of the Common Stock</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173"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r:id="rId22">
              <w:r>
                <w:rPr>
                  <w:rStyle w:val="InternetLink"/>
                  <w:rFonts w:ascii="Times New Roman;serif" w:hAnsi="Times New Roman;serif"/>
                  <w:b w:val="false"/>
                  <w:color w:val="0000FF"/>
                  <w:sz w:val="20"/>
                  <w:u w:val="single"/>
                </w:rPr>
                <w:t>Unisys Corporation 2024 Long-Term Incentive and Equity Compensation Plan (incorporated by reference to the Appendix to the Company’s Definitive Proxy Statement on Schedule 14A filed with the SEC on March 22, 2024)</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9173"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fldChar w:fldCharType="begin"/>
            </w:r>
            <w:r>
              <w:rPr>
                <w:rStyle w:val="InternetLink"/>
                <w:sz w:val="20"/>
                <w:u w:val="single"/>
                <w:b w:val="false"/>
                <w:rFonts w:ascii="Times New Roman;serif" w:hAnsi="Times New Roman;serif"/>
                <w:color w:val="0000FF"/>
              </w:rPr>
              <w:instrText xml:space="preserve"> HYPERLINK "https://www.sec.gov/ix?doc=/Archives/edgar/data/0000746838/000110465925027313/tm252308-7_def14a.htm" \l "tAPB"</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Amendment No.1 to the Unisys Corporation 2024 Long-Term Incentive and Equity Compensation Plan (incorporated by reference to the Appendix to the Company’s Definitive Proxy Statement on Schedule 14A filed with the SEC on March 24, 2025)</w:t>
            </w:r>
            <w:r>
              <w:rPr>
                <w:rStyle w:val="InternetLink"/>
                <w:sz w:val="20"/>
                <w:u w:val="single"/>
                <w:b w:val="false"/>
                <w:rFonts w:ascii="Times New Roman;serif" w:hAnsi="Times New Roman;serif"/>
                <w:color w:val="0000FF"/>
              </w:rPr>
              <w:fldChar w:fldCharType="end"/>
            </w:r>
          </w:p>
        </w:tc>
      </w:tr>
      <w:tr>
        <w:trPr/>
        <w:tc>
          <w:tcPr>
            <w:tcW w:w="10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9173" w:type="dxa"/>
            <w:gridSpan w:val="3"/>
            <w:tcBorders/>
            <w:tcMar>
              <w:top w:w="0" w:type="dxa"/>
              <w:left w:w="0" w:type="dxa"/>
              <w:bottom w:w="0" w:type="dxa"/>
              <w:right w:w="0" w:type="dxa"/>
            </w:tcMar>
            <w:vAlign w:val="center"/>
          </w:tcPr>
          <w:p>
            <w:pPr>
              <w:pStyle w:val="TableContents"/>
              <w:bidi w:val="0"/>
              <w:spacing w:lineRule="auto" w:line="288" w:before="120" w:after="283"/>
              <w:jc w:val="left"/>
              <w:rPr/>
            </w:pPr>
            <w:r>
              <w:fldChar w:fldCharType="begin"/>
            </w:r>
            <w:r>
              <w:rPr>
                <w:rStyle w:val="InternetLink"/>
                <w:sz w:val="20"/>
                <w:u w:val="single"/>
                <w:b w:val="false"/>
                <w:rFonts w:ascii="Times New Roman;serif" w:hAnsi="Times New Roman;serif"/>
                <w:color w:val="000080"/>
              </w:rPr>
              <w:instrText xml:space="preserve"> HYPERLINK "https://www.sec.gov/Archives/edgar/data/746838/000130817926000082/uis-20260316.htm" \l "iafcc148abe124597b4c4448a8662b999_205"</w:instrText>
            </w:r>
            <w:r>
              <w:rPr>
                <w:rStyle w:val="InternetLink"/>
                <w:sz w:val="20"/>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20"/>
                <w:u w:val="single"/>
              </w:rPr>
              <w:t>A</w:t>
            </w:r>
            <w:r>
              <w:rPr>
                <w:rStyle w:val="InternetLink"/>
                <w:sz w:val="20"/>
                <w:u w:val="single"/>
                <w:b w:val="false"/>
                <w:rFonts w:ascii="Times New Roman;serif" w:hAnsi="Times New Roman;serif"/>
                <w:color w:val="000080"/>
              </w:rPr>
              <w:fldChar w:fldCharType="end"/>
            </w:r>
            <w:r>
              <w:fldChar w:fldCharType="begin"/>
            </w:r>
            <w:r>
              <w:rPr>
                <w:rStyle w:val="InternetLink"/>
                <w:sz w:val="20"/>
                <w:u w:val="single"/>
                <w:b w:val="false"/>
                <w:rFonts w:ascii="Times New Roman;serif" w:hAnsi="Times New Roman;serif"/>
                <w:color w:val="000080"/>
              </w:rPr>
              <w:instrText xml:space="preserve"> HYPERLINK "https://www.sec.gov/Archives/edgar/data/746838/000130817926000082/uis-20260316.htm" \l "iafcc148abe124597b4c4448a8662b999_205"</w:instrText>
            </w:r>
            <w:r>
              <w:rPr>
                <w:rStyle w:val="InternetLink"/>
                <w:sz w:val="20"/>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20"/>
                <w:u w:val="single"/>
              </w:rPr>
              <w:t>mendment No. 2 to the Unisys Corporation 2024 Long-Term Incentive and Equity Compensation Plan (incorporated by reference to the Appendix to the Company</w:t>
            </w:r>
            <w:r>
              <w:rPr>
                <w:rStyle w:val="InternetLink"/>
                <w:sz w:val="20"/>
                <w:u w:val="single"/>
                <w:b w:val="false"/>
                <w:rFonts w:ascii="Times New Roman;serif" w:hAnsi="Times New Roman;serif"/>
                <w:color w:val="000080"/>
              </w:rPr>
              <w:fldChar w:fldCharType="end"/>
            </w:r>
            <w:r>
              <w:fldChar w:fldCharType="begin"/>
            </w:r>
            <w:r>
              <w:rPr>
                <w:rStyle w:val="InternetLink"/>
                <w:sz w:val="20"/>
                <w:u w:val="single"/>
                <w:b w:val="false"/>
                <w:rFonts w:ascii="Times New Roman;serif" w:hAnsi="Times New Roman;serif"/>
                <w:color w:val="000080"/>
              </w:rPr>
              <w:instrText xml:space="preserve"> HYPERLINK "https://www.sec.gov/Archives/edgar/data/746838/000130817926000082/uis-20260316.htm" \l "iafcc148abe124597b4c4448a8662b999_205"</w:instrText>
            </w:r>
            <w:r>
              <w:rPr>
                <w:rStyle w:val="InternetLink"/>
                <w:sz w:val="20"/>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20"/>
                <w:u w:val="single"/>
              </w:rPr>
              <w:t>’</w:t>
            </w:r>
            <w:r>
              <w:rPr>
                <w:rStyle w:val="InternetLink"/>
                <w:sz w:val="20"/>
                <w:u w:val="single"/>
                <w:b w:val="false"/>
                <w:rFonts w:ascii="Times New Roman;serif" w:hAnsi="Times New Roman;serif"/>
                <w:color w:val="000080"/>
              </w:rPr>
              <w:fldChar w:fldCharType="end"/>
            </w:r>
            <w:r>
              <w:fldChar w:fldCharType="begin"/>
            </w:r>
            <w:r>
              <w:rPr>
                <w:rStyle w:val="InternetLink"/>
                <w:sz w:val="20"/>
                <w:u w:val="single"/>
                <w:b w:val="false"/>
                <w:rFonts w:ascii="Times New Roman;serif" w:hAnsi="Times New Roman;serif"/>
                <w:color w:val="000080"/>
              </w:rPr>
              <w:instrText xml:space="preserve"> HYPERLINK "https://www.sec.gov/Archives/edgar/data/746838/000130817926000082/uis-20260316.htm" \l "iafcc148abe124597b4c4448a8662b999_205"</w:instrText>
            </w:r>
            <w:r>
              <w:rPr>
                <w:rStyle w:val="InternetLink"/>
                <w:sz w:val="20"/>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20"/>
                <w:u w:val="single"/>
              </w:rPr>
              <w:t xml:space="preserve">s Definitive Proxy </w:t>
            </w:r>
            <w:r>
              <w:rPr>
                <w:rStyle w:val="InternetLink"/>
                <w:sz w:val="20"/>
                <w:u w:val="single"/>
                <w:b w:val="false"/>
                <w:rFonts w:ascii="Times New Roman;serif" w:hAnsi="Times New Roman;serif"/>
                <w:color w:val="000080"/>
              </w:rPr>
              <w:fldChar w:fldCharType="end"/>
            </w:r>
            <w:r>
              <w:fldChar w:fldCharType="begin"/>
            </w:r>
            <w:r>
              <w:rPr>
                <w:rStyle w:val="InternetLink"/>
                <w:sz w:val="20"/>
                <w:u w:val="single"/>
                <w:b w:val="false"/>
                <w:rFonts w:ascii="Times New Roman;serif" w:hAnsi="Times New Roman;serif"/>
                <w:color w:val="000080"/>
              </w:rPr>
              <w:instrText xml:space="preserve"> HYPERLINK "https://www.sec.gov/Archives/edgar/data/746838/000130817926000082/uis-20260316.htm" \l "iafcc148abe124597b4c4448a8662b999_205"</w:instrText>
            </w:r>
            <w:r>
              <w:rPr>
                <w:rStyle w:val="InternetLink"/>
                <w:sz w:val="20"/>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20"/>
                <w:u w:val="single"/>
              </w:rPr>
              <w:t>Statement</w:t>
            </w:r>
            <w:r>
              <w:rPr>
                <w:rStyle w:val="InternetLink"/>
                <w:sz w:val="20"/>
                <w:u w:val="single"/>
                <w:b w:val="false"/>
                <w:rFonts w:ascii="Times New Roman;serif" w:hAnsi="Times New Roman;serif"/>
                <w:color w:val="000080"/>
              </w:rPr>
              <w:fldChar w:fldCharType="end"/>
            </w:r>
            <w:r>
              <w:fldChar w:fldCharType="begin"/>
            </w:r>
            <w:r>
              <w:rPr>
                <w:rStyle w:val="InternetLink"/>
                <w:sz w:val="20"/>
                <w:u w:val="single"/>
                <w:b w:val="false"/>
                <w:rFonts w:ascii="Times New Roman;serif" w:hAnsi="Times New Roman;serif"/>
                <w:color w:val="000080"/>
              </w:rPr>
              <w:instrText xml:space="preserve"> HYPERLINK "https://www.sec.gov/Archives/edgar/data/746838/000130817926000082/uis-20260316.htm" \l "iafcc148abe124597b4c4448a8662b999_205"</w:instrText>
            </w:r>
            <w:r>
              <w:rPr>
                <w:rStyle w:val="InternetLink"/>
                <w:sz w:val="20"/>
                <w:u w:val="single"/>
                <w:b w:val="false"/>
                <w:rFonts w:ascii="Times New Roman;serif" w:hAnsi="Times New Roman;serif"/>
                <w:color w:val="000080"/>
              </w:rPr>
              <w:fldChar w:fldCharType="separate"/>
            </w:r>
            <w:r>
              <w:rPr>
                <w:rStyle w:val="InternetLink"/>
                <w:rFonts w:ascii="Times New Roman;serif" w:hAnsi="Times New Roman;serif"/>
                <w:b w:val="false"/>
                <w:color w:val="000080"/>
                <w:sz w:val="20"/>
                <w:u w:val="single"/>
              </w:rPr>
              <w:t xml:space="preserve"> on Schedule 14A filed with the SEC on March 16, 2026)</w:t>
            </w:r>
            <w:r>
              <w:rPr>
                <w:rStyle w:val="InternetLink"/>
                <w:sz w:val="20"/>
                <w:u w:val="single"/>
                <w:b w:val="false"/>
                <w:rFonts w:ascii="Times New Roman;serif" w:hAnsi="Times New Roman;serif"/>
                <w:color w:val="000080"/>
              </w:rPr>
              <w:fldChar w:fldCharType="end"/>
            </w:r>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23.1*</w:t>
            </w:r>
          </w:p>
        </w:tc>
        <w:tc>
          <w:tcPr>
            <w:tcW w:w="9173"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a2026ex231equityplangtcons.htm">
              <w:r>
                <w:rPr>
                  <w:rStyle w:val="InternetLink"/>
                  <w:rFonts w:ascii="Times New Roman;serif" w:hAnsi="Times New Roman;serif"/>
                  <w:b w:val="false"/>
                  <w:color w:val="000080"/>
                  <w:sz w:val="20"/>
                  <w:u w:val="single"/>
                </w:rPr>
                <w:t>Consent of Grant Thornton LLP, independent registered</w:t>
              </w:r>
            </w:hyperlink>
            <w:hyperlink w:anchor="a2026ex231equityplangtcons.htm">
              <w:r>
                <w:rPr>
                  <w:rStyle w:val="InternetLink"/>
                  <w:rFonts w:ascii="Times New Roman;serif" w:hAnsi="Times New Roman;serif"/>
                  <w:b w:val="false"/>
                  <w:color w:val="000080"/>
                  <w:sz w:val="20"/>
                  <w:u w:val="single"/>
                </w:rPr>
                <w:t xml:space="preserve"> public accounting firm for Unisys Corporation </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23.2*</w:t>
            </w:r>
          </w:p>
        </w:tc>
        <w:tc>
          <w:tcPr>
            <w:tcW w:w="9173"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a2026ex51troutmanpepperloc.htm">
              <w:r>
                <w:rPr>
                  <w:rStyle w:val="InternetLink"/>
                  <w:rFonts w:ascii="Times New Roman;serif" w:hAnsi="Times New Roman;serif"/>
                  <w:b w:val="false"/>
                  <w:color w:val="0000FF"/>
                  <w:sz w:val="20"/>
                  <w:u w:val="single"/>
                </w:rPr>
                <w:t>Consent of Troutman Pepper Locke LLP (included as part of Exhibit 5.1 to the Registration Statement)</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24.1*</w:t>
            </w:r>
          </w:p>
        </w:tc>
        <w:tc>
          <w:tcPr>
            <w:tcW w:w="9173"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ic0763b8157c647ceac580713479f7efd_7">
              <w:r>
                <w:rPr>
                  <w:rStyle w:val="InternetLink"/>
                  <w:rFonts w:ascii="Times New Roman;serif" w:hAnsi="Times New Roman;serif"/>
                  <w:b w:val="false"/>
                  <w:color w:val="0000FF"/>
                  <w:sz w:val="20"/>
                  <w:u w:val="single"/>
                </w:rPr>
                <w:t>Power of Attorney (included in signature page)</w:t>
              </w:r>
            </w:hyperlink>
          </w:p>
        </w:tc>
      </w:tr>
      <w:tr>
        <w:trPr/>
        <w:tc>
          <w:tcPr>
            <w:tcW w:w="1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2" w:type="dxa"/>
            <w:gridSpan w:val="3"/>
            <w:tcBorders/>
            <w:tcMar>
              <w:top w:w="0" w:type="dxa"/>
              <w:left w:w="0" w:type="dxa"/>
              <w:bottom w:w="0" w:type="dxa"/>
              <w:right w:w="0" w:type="dxa"/>
            </w:tcMar>
            <w:vAlign w:val="center"/>
          </w:tcPr>
          <w:p>
            <w:pPr>
              <w:pStyle w:val="TableContents"/>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107.1*</w:t>
            </w:r>
          </w:p>
        </w:tc>
        <w:tc>
          <w:tcPr>
            <w:tcW w:w="9173" w:type="dxa"/>
            <w:gridSpan w:val="3"/>
            <w:tcBorders/>
            <w:tcMar>
              <w:top w:w="0" w:type="dxa"/>
              <w:left w:w="0" w:type="dxa"/>
              <w:bottom w:w="0" w:type="dxa"/>
              <w:right w:w="0" w:type="dxa"/>
            </w:tcMar>
            <w:vAlign w:val="center"/>
          </w:tcPr>
          <w:p>
            <w:pPr>
              <w:pStyle w:val="TableContents"/>
              <w:bidi w:val="0"/>
              <w:spacing w:lineRule="auto" w:line="288" w:before="120" w:after="283"/>
              <w:jc w:val="left"/>
              <w:rPr/>
            </w:pPr>
            <w:hyperlink w:anchor="exfilingfees.htm">
              <w:r>
                <w:rPr>
                  <w:rStyle w:val="InternetLink"/>
                  <w:rFonts w:ascii="Times New Roman;serif" w:hAnsi="Times New Roman;serif"/>
                  <w:b w:val="false"/>
                  <w:color w:val="0000FF"/>
                  <w:sz w:val="20"/>
                  <w:u w:val="single"/>
                </w:rPr>
                <w:t>Calculation of Filing Fee Tables</w:t>
              </w:r>
            </w:hyperlink>
          </w:p>
        </w:tc>
      </w:tr>
    </w:tbl>
    <w:p>
      <w:pPr>
        <w:pStyle w:val="TextBody"/>
        <w:bidi w:val="0"/>
        <w:spacing w:lineRule="auto" w:line="240" w:before="120" w:after="283"/>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120" w:after="283"/>
        <w:jc w:val="both"/>
        <w:rPr>
          <w:rFonts w:ascii="Times New Roman;serif" w:hAnsi="Times New Roman;serif"/>
          <w:b/>
          <w:color w:val="000000"/>
          <w:sz w:val="22"/>
        </w:rPr>
      </w:pPr>
      <w:r>
        <w:rPr>
          <w:rFonts w:ascii="Times New Roman;serif" w:hAnsi="Times New Roman;serif"/>
          <w:b/>
          <w:color w:val="000000"/>
          <w:sz w:val="22"/>
        </w:rPr>
        <w:t>Item 9. Undertakings.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The undersigned Registrant hereby undertakes:</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(1)           To file, during any period in which offers or sales are being made, a post-effective amendment to this Registration Statement:</w:t>
      </w:r>
    </w:p>
    <w:p>
      <w:pPr>
        <w:pStyle w:val="TextBody"/>
        <w:bidi w:val="0"/>
        <w:spacing w:lineRule="auto" w:line="288" w:before="120" w:after="283"/>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i.           To include any prospectus required by Section 10(a)(3) of the Securities Act;</w:t>
      </w:r>
    </w:p>
    <w:p>
      <w:pPr>
        <w:pStyle w:val="TextBody"/>
        <w:bidi w:val="0"/>
        <w:spacing w:lineRule="auto" w:line="288" w:before="120" w:after="283"/>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w:t>
      </w:r>
    </w:p>
    <w:p>
      <w:pPr>
        <w:pStyle w:val="TextBody"/>
        <w:bidi w:val="0"/>
        <w:spacing w:before="12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51460"/>
                <wp:effectExtent l="0" t="0" r="0" b="0"/>
                <wp:wrapNone/>
                <wp:docPr id="6" name="Frame6"/>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maximum aggregate offering price set forth in the “Calculation of Filing Fee Tables” or “Calculation of Registration Fee” table, as applicable, in the effective Registration Statement; and</w:t>
      </w:r>
    </w:p>
    <w:p>
      <w:pPr>
        <w:pStyle w:val="TextBody"/>
        <w:bidi w:val="0"/>
        <w:spacing w:lineRule="auto" w:line="288" w:before="120" w:after="283"/>
        <w:ind w:left="0" w:right="0" w:firstLine="1440"/>
        <w:jc w:val="both"/>
        <w:rPr>
          <w:rFonts w:ascii="Times New Roman;serif" w:hAnsi="Times New Roman;serif"/>
          <w:b w:val="false"/>
          <w:color w:val="000000"/>
          <w:sz w:val="20"/>
        </w:rPr>
      </w:pPr>
      <w:r>
        <w:rPr>
          <w:rFonts w:ascii="Times New Roman;serif" w:hAnsi="Times New Roman;serif"/>
          <w:b w:val="false"/>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120" w:after="283"/>
        <w:jc w:val="left"/>
        <w:rPr/>
      </w:pPr>
      <w:r>
        <w:rPr/>
      </w:r>
    </w:p>
    <w:p>
      <w:pPr>
        <w:pStyle w:val="TextBody"/>
        <w:bidi w:val="0"/>
        <w:spacing w:lineRule="auto" w:line="288" w:before="120" w:after="283"/>
        <w:ind w:left="0" w:right="0" w:firstLine="720"/>
        <w:jc w:val="both"/>
        <w:rPr/>
      </w:pPr>
      <w:r>
        <w:rPr>
          <w:rFonts w:ascii="Times New Roman;serif" w:hAnsi="Times New Roman;serif"/>
          <w:b w:val="false"/>
          <w:i/>
          <w:color w:val="000000"/>
          <w:sz w:val="20"/>
        </w:rPr>
        <w:t>provided, however</w:t>
      </w:r>
      <w:r>
        <w:rPr>
          <w:rFonts w:ascii="Times New Roman;serif" w:hAnsi="Times New Roman;serif"/>
          <w:b w:val="false"/>
          <w:color w:val="000000"/>
          <w:sz w:val="20"/>
        </w:rPr>
        <w:t>, that paragraphs (a)(1)(i) and (a)(1)(ii)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(3)           To remove from registration by means of a post-effective amendment any of the securities being registered which remain unsold at the termination of the offering.</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(h)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jc w:val="left"/>
        <w:rPr/>
      </w:pPr>
      <w:r>
        <w:rPr/>
      </w:r>
    </w:p>
    <w:p>
      <w:pPr>
        <w:pStyle w:val="TextBody"/>
        <w:bidi w:val="0"/>
        <w:spacing w:before="0" w:after="0"/>
        <w:jc w:val="left"/>
        <w:rPr/>
      </w:pPr>
      <w:r>
        <w:rPr/>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51460"/>
                <wp:effectExtent l="0" t="0" r="0" b="0"/>
                <wp:wrapNone/>
                <wp:docPr id="7" name="Frame7"/>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40" w:before="120" w:after="283"/>
        <w:jc w:val="center"/>
        <w:rPr>
          <w:rFonts w:ascii="Times New Roman;serif" w:hAnsi="Times New Roman;serif"/>
          <w:b/>
          <w:color w:val="000000"/>
          <w:sz w:val="22"/>
        </w:rPr>
      </w:pPr>
      <w:r>
        <w:rPr>
          <w:rFonts w:ascii="Times New Roman;serif" w:hAnsi="Times New Roman;serif"/>
          <w:b/>
          <w:color w:val="000000"/>
          <w:sz w:val="22"/>
        </w:rPr>
        <w:t>SIGNATURES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Blue Bell, Pennsylvania, on the date indicated below.</w:t>
      </w:r>
    </w:p>
    <w:tbl>
      <w:tblPr>
        <w:tblW w:w="6487" w:type="dxa"/>
        <w:jc w:val="left"/>
        <w:tblInd w:w="0" w:type="dxa"/>
        <w:tblLayout w:type="fixed"/>
        <w:tblCellMar>
          <w:top w:w="28" w:type="dxa"/>
          <w:left w:w="28" w:type="dxa"/>
          <w:bottom w:w="28" w:type="dxa"/>
          <w:right w:w="28" w:type="dxa"/>
        </w:tblCellMar>
      </w:tblPr>
      <w:tblGrid>
        <w:gridCol w:w="531"/>
        <w:gridCol w:w="468"/>
        <w:gridCol w:w="470"/>
        <w:gridCol w:w="109"/>
        <w:gridCol w:w="109"/>
        <w:gridCol w:w="109"/>
        <w:gridCol w:w="247"/>
        <w:gridCol w:w="247"/>
        <w:gridCol w:w="247"/>
        <w:gridCol w:w="247"/>
        <w:gridCol w:w="247"/>
        <w:gridCol w:w="247"/>
        <w:gridCol w:w="928"/>
        <w:gridCol w:w="928"/>
        <w:gridCol w:w="1353"/>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UNISYS CORPORATION</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(Registrant)</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M. Thomson</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M. Thomson</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bl>
    <w:p>
      <w:pPr>
        <w:pStyle w:val="TextBody"/>
        <w:bidi w:val="0"/>
        <w:spacing w:lineRule="auto" w:line="288" w:before="145" w:after="283"/>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Each person whose signature appears below hereby constitutes and appoints each of Debra McCann and Kristen Prohl his or her true and lawful attorney-in-fact and agent with full powers of substitution and resubstitution, for the undersigned and in the name of the undersigned, in any and all capacities, to sign any or all amendments (including post-effective amendments) to this Registration Statement on Form S-8,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this Registration Statement has been signed by the following persons in the capacities on June 30, 2026.</w:t>
      </w:r>
    </w:p>
    <w:p>
      <w:pPr>
        <w:pStyle w:val="TextBody"/>
        <w:bidi w:val="0"/>
        <w:spacing w:before="120" w:after="283"/>
        <w:jc w:val="left"/>
        <w:rPr/>
      </w:pPr>
      <w:r>
        <w:rPr/>
      </w:r>
    </w:p>
    <w:p>
      <w:pPr>
        <w:pStyle w:val="TextBody"/>
        <w:bidi w:val="0"/>
        <w:spacing w:before="12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51460"/>
                <wp:effectExtent l="0" t="0" r="0" b="0"/>
                <wp:wrapNone/>
                <wp:docPr id="8" name="Frame8"/>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before="120" w:after="283"/>
        <w:jc w:val="left"/>
        <w:rPr/>
      </w:pPr>
      <w:r>
        <w:rPr/>
      </w:r>
    </w:p>
    <w:p>
      <w:pPr>
        <w:pStyle w:val="TextBody"/>
        <w:bidi w:val="0"/>
        <w:spacing w:before="120" w:after="283"/>
        <w:jc w:val="center"/>
        <w:rPr/>
      </w:pPr>
      <w:r>
        <w:rPr/>
      </w:r>
    </w:p>
    <w:tbl>
      <w:tblPr>
        <w:tblW w:w="8159" w:type="dxa"/>
        <w:jc w:val="left"/>
        <w:tblInd w:w="0" w:type="dxa"/>
        <w:tblLayout w:type="fixed"/>
        <w:tblCellMar>
          <w:top w:w="28" w:type="dxa"/>
          <w:left w:w="28" w:type="dxa"/>
          <w:bottom w:w="28" w:type="dxa"/>
          <w:right w:w="28" w:type="dxa"/>
        </w:tblCellMar>
      </w:tblPr>
      <w:tblGrid>
        <w:gridCol w:w="942"/>
        <w:gridCol w:w="829"/>
        <w:gridCol w:w="838"/>
        <w:gridCol w:w="1614"/>
        <w:gridCol w:w="1614"/>
        <w:gridCol w:w="2322"/>
      </w:tblGrid>
      <w:tr>
        <w:trPr/>
        <w:tc>
          <w:tcPr>
            <w:tcW w:w="94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tc>
        <w:tc>
          <w:tcPr>
            <w:tcW w:w="55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Title</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M. Thomson        </w:t>
            </w:r>
          </w:p>
        </w:tc>
        <w:tc>
          <w:tcPr>
            <w:tcW w:w="5550"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 and President and Director</w:t>
            </w:r>
          </w:p>
        </w:tc>
      </w:tr>
      <w:tr>
        <w:trPr/>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Michael M. Thomson</w:t>
            </w:r>
          </w:p>
        </w:tc>
        <w:tc>
          <w:tcPr>
            <w:tcW w:w="5550"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Debra McCann</w:t>
            </w:r>
          </w:p>
        </w:tc>
        <w:tc>
          <w:tcPr>
            <w:tcW w:w="55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Debra McCann</w:t>
            </w:r>
          </w:p>
        </w:tc>
        <w:tc>
          <w:tcPr>
            <w:tcW w:w="5550"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Brown</w:t>
            </w:r>
          </w:p>
        </w:tc>
        <w:tc>
          <w:tcPr>
            <w:tcW w:w="55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Vice President, Chief Accounting Officer and Corporate Controller</w:t>
            </w:r>
          </w:p>
        </w:tc>
      </w:tr>
      <w:tr>
        <w:trPr/>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David Brown</w:t>
            </w:r>
          </w:p>
        </w:tc>
        <w:tc>
          <w:tcPr>
            <w:tcW w:w="5550" w:type="dxa"/>
            <w:gridSpan w:val="3"/>
            <w:tcBorders/>
            <w:tcMar>
              <w:top w:w="0" w:type="dxa"/>
              <w:left w:w="0" w:type="dxa"/>
              <w:bottom w:w="0" w:type="dxa"/>
              <w:right w:w="0" w:type="dxa"/>
            </w:tcMar>
            <w:vAlign w:val="center"/>
          </w:tcPr>
          <w:p>
            <w:pPr>
              <w:pStyle w:val="TableContents"/>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Nathaniel A. Davis</w:t>
            </w:r>
          </w:p>
        </w:tc>
        <w:tc>
          <w:tcPr>
            <w:tcW w:w="55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Chair and Director</w:t>
            </w:r>
          </w:p>
        </w:tc>
      </w:tr>
      <w:tr>
        <w:trPr/>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Nathaniel A. Davis</w:t>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Matthew J. Desch</w:t>
            </w:r>
          </w:p>
        </w:tc>
        <w:tc>
          <w:tcPr>
            <w:tcW w:w="55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Matthew J. Desch</w:t>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Philippe Germond</w:t>
            </w:r>
          </w:p>
        </w:tc>
        <w:tc>
          <w:tcPr>
            <w:tcW w:w="55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Philippe Germond</w:t>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Deborah Lee James</w:t>
            </w:r>
          </w:p>
        </w:tc>
        <w:tc>
          <w:tcPr>
            <w:tcW w:w="55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Deborah Lee James</w:t>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Kritzmacher</w:t>
            </w:r>
          </w:p>
        </w:tc>
        <w:tc>
          <w:tcPr>
            <w:tcW w:w="55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John Kritzmacher</w:t>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Paul E. Martin</w:t>
            </w:r>
          </w:p>
        </w:tc>
        <w:tc>
          <w:tcPr>
            <w:tcW w:w="55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Paul E. Martin</w:t>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Regina M. Paolillo</w:t>
            </w:r>
          </w:p>
        </w:tc>
        <w:tc>
          <w:tcPr>
            <w:tcW w:w="55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Regina M. Paolillo</w:t>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Troy K. Richardson</w:t>
            </w:r>
          </w:p>
        </w:tc>
        <w:tc>
          <w:tcPr>
            <w:tcW w:w="55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Troy K. Richardson</w:t>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Roxanne Taylor</w:t>
            </w:r>
          </w:p>
        </w:tc>
        <w:tc>
          <w:tcPr>
            <w:tcW w:w="55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Director</w:t>
            </w:r>
          </w:p>
        </w:tc>
      </w:tr>
      <w:tr>
        <w:trPr/>
        <w:tc>
          <w:tcPr>
            <w:tcW w:w="26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Roxanne Taylor</w:t>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Exhibit 107.1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51460"/>
                <wp:effectExtent l="0" t="0" r="0" b="0"/>
                <wp:wrapNone/>
                <wp:docPr id="9" name="Frame9"/>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427.55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Calculation of Filing Fee Table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Form S-8</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(Form Type)</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Unisys Corporation </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Table 1: Newly Registered Securities</w:t>
      </w:r>
    </w:p>
    <w:p>
      <w:pPr>
        <w:pStyle w:val="TextBody"/>
        <w:bidi w:val="0"/>
        <w:spacing w:before="0" w:after="0"/>
        <w:jc w:val="center"/>
        <w:rPr/>
      </w:pPr>
      <w:r>
        <w:rPr/>
      </w:r>
    </w:p>
    <w:tbl>
      <w:tblPr>
        <w:tblW w:w="13236" w:type="dxa"/>
        <w:jc w:val="center"/>
        <w:tblInd w:w="0" w:type="dxa"/>
        <w:tblLayout w:type="fixed"/>
        <w:tblCellMar>
          <w:top w:w="28" w:type="dxa"/>
          <w:left w:w="28" w:type="dxa"/>
          <w:bottom w:w="28" w:type="dxa"/>
          <w:right w:w="28" w:type="dxa"/>
        </w:tblCellMar>
      </w:tblPr>
      <w:tblGrid>
        <w:gridCol w:w="212"/>
        <w:gridCol w:w="186"/>
        <w:gridCol w:w="188"/>
        <w:gridCol w:w="270"/>
        <w:gridCol w:w="270"/>
        <w:gridCol w:w="271"/>
        <w:gridCol w:w="109"/>
        <w:gridCol w:w="109"/>
        <w:gridCol w:w="109"/>
        <w:gridCol w:w="584"/>
        <w:gridCol w:w="436"/>
        <w:gridCol w:w="271"/>
        <w:gridCol w:w="109"/>
        <w:gridCol w:w="109"/>
        <w:gridCol w:w="109"/>
        <w:gridCol w:w="365"/>
        <w:gridCol w:w="365"/>
        <w:gridCol w:w="366"/>
        <w:gridCol w:w="109"/>
        <w:gridCol w:w="109"/>
        <w:gridCol w:w="109"/>
        <w:gridCol w:w="574"/>
        <w:gridCol w:w="402"/>
        <w:gridCol w:w="336"/>
        <w:gridCol w:w="109"/>
        <w:gridCol w:w="109"/>
        <w:gridCol w:w="109"/>
        <w:gridCol w:w="223"/>
        <w:gridCol w:w="652"/>
        <w:gridCol w:w="116"/>
        <w:gridCol w:w="109"/>
        <w:gridCol w:w="109"/>
        <w:gridCol w:w="109"/>
        <w:gridCol w:w="211"/>
        <w:gridCol w:w="1336"/>
        <w:gridCol w:w="109"/>
        <w:gridCol w:w="109"/>
        <w:gridCol w:w="109"/>
        <w:gridCol w:w="109"/>
        <w:gridCol w:w="364"/>
        <w:gridCol w:w="364"/>
        <w:gridCol w:w="368"/>
        <w:gridCol w:w="109"/>
        <w:gridCol w:w="109"/>
        <w:gridCol w:w="109"/>
        <w:gridCol w:w="211"/>
        <w:gridCol w:w="871"/>
        <w:gridCol w:w="109"/>
        <w:gridCol w:w="109"/>
        <w:gridCol w:w="109"/>
        <w:gridCol w:w="109"/>
        <w:gridCol w:w="109"/>
        <w:gridCol w:w="109"/>
        <w:gridCol w:w="109"/>
        <w:gridCol w:w="109"/>
        <w:gridCol w:w="154"/>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Notes #</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Security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Security Class 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Fee Calculation or Carry Forward Rule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Amount Registered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Proposed Maximum Offering Price Per Unit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Maximum Aggregate Offering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Fee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 of Registration Fee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2" w:type="dxa"/>
            <w:gridSpan w:val="29"/>
            <w:tcBorders/>
          </w:tcPr>
          <w:p>
            <w:pPr>
              <w:pStyle w:val="TableContents"/>
              <w:bidi w:val="0"/>
              <w:spacing w:before="0" w:after="283"/>
              <w:jc w:val="left"/>
              <w:rPr>
                <w:sz w:val="4"/>
                <w:szCs w:val="4"/>
              </w:rPr>
            </w:pPr>
            <w:r>
              <w:rPr>
                <w:sz w:val="4"/>
                <w:szCs w:val="4"/>
              </w:rPr>
            </w:r>
          </w:p>
        </w:tc>
      </w:tr>
      <w:tr>
        <w:trPr/>
        <w:tc>
          <w:tcPr>
            <w:tcW w:w="586"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811"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 reserved for issuance pursuant to the Registrant's 2024 Long-Term Incentive and Equity Compensation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Rule 457(h)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3,900,000 </w:t>
            </w:r>
          </w:p>
        </w:tc>
        <w:tc>
          <w:tcPr>
            <w:tcW w:w="336"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2"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2.630 </w:t>
            </w:r>
          </w:p>
        </w:tc>
        <w:tc>
          <w:tcPr>
            <w:tcW w:w="116"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36"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10,257,000.00 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0.00013810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1,416.49 </w:t>
            </w:r>
          </w:p>
        </w:tc>
        <w:tc>
          <w:tcPr>
            <w:tcW w:w="109" w:type="dxa"/>
            <w:tcBorders>
              <w:top w:val="single" w:sz="12"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32" w:type="dxa"/>
            <w:gridSpan w:val="29"/>
            <w:tcBorders/>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1"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Offering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1"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Fee Offsets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1"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Fee Due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20" w:after="283"/>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1    Represents the additional shares of common stock $0.01 par value per share (“Common Stock”) of Unisys Corporation (the “Registrant”) reserved for issuance under the Unisys Corporation 2024 Long-Term Incentive and Equity Compensation Plan, as amended (the "Plan"). In accordance with Rule 416(a) under the Securities Act of 1933, as amended (the "Securities Act"), this Registration Statement also covers an indeterminate number of shares of the Registrant's Common Stock that become issuable under the Plan as a result of stock splits, reverse stock splits, stock dividends, combinations of shares, spin-offs, recapitalizations, mergers and other capital adjustments,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Estimated pursuant to Rules 457(c) and 457(h) under the Securities Act, solely for the purpose of calculating the amount of the registration fee. The price shown is based upon the average of the high and low prices of the Registrant’s Common Stock, as reported on the New York Stock Exchange on August 26, 2026 (rounded to the nearest cent).</w:t>
      </w:r>
    </w:p>
    <w:p>
      <w:pPr>
        <w:pStyle w:val="TextBody"/>
        <w:bidi w:val="0"/>
        <w:spacing w:before="0" w:after="0"/>
        <w:jc w:val="left"/>
        <w:rPr/>
      </w:pPr>
      <w:r>
        <w:rPr/>
      </w:r>
    </w:p>
    <w:p>
      <w:pPr>
        <w:pStyle w:val="TextBody"/>
        <w:bidi w:val="0"/>
        <w:spacing w:lineRule="auto" w:line="288" w:before="120" w:after="283"/>
        <w:jc w:val="center"/>
        <w:rPr>
          <w:rFonts w:ascii="Times New Roman;serif" w:hAnsi="Times New Roman;serif"/>
          <w:b/>
          <w:color w:val="000000"/>
          <w:sz w:val="20"/>
          <w:u w:val="single"/>
        </w:rPr>
      </w:pPr>
      <w:r>
        <w:rPr>
          <w:rFonts w:ascii="Times New Roman;serif" w:hAnsi="Times New Roman;serif"/>
          <w:b/>
          <w:color w:val="000000"/>
          <w:sz w:val="20"/>
          <w:u w:val="single"/>
        </w:rPr>
        <w:t>Table 2: Fee Offset Claims and Sources</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val="false"/>
          <w:color w:val="000000"/>
          <w:sz w:val="22"/>
        </w:rPr>
      </w:pPr>
      <w:r>
        <w:rPr>
          <w:rFonts w:ascii="Times New Roman;serif" w:hAnsi="Times New Roman;serif"/>
          <w:b w:val="false"/>
          <w:color w:val="000000"/>
          <w:sz w:val="22"/>
        </w:rPr>
        <w:t>Exhibit 5.1</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3.1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936" w:type="dxa"/>
        <w:jc w:val="right"/>
        <w:tblInd w:w="0" w:type="dxa"/>
        <w:tblLayout w:type="fixed"/>
        <w:tblCellMar>
          <w:top w:w="28" w:type="dxa"/>
          <w:left w:w="28" w:type="dxa"/>
          <w:bottom w:w="28" w:type="dxa"/>
          <w:right w:w="28" w:type="dxa"/>
        </w:tblCellMar>
      </w:tblPr>
      <w:tblGrid>
        <w:gridCol w:w="1849"/>
        <w:gridCol w:w="1624"/>
        <w:gridCol w:w="1627"/>
        <w:gridCol w:w="1123"/>
        <w:gridCol w:w="1123"/>
        <w:gridCol w:w="1590"/>
      </w:tblGrid>
      <w:tr>
        <w:trPr/>
        <w:tc>
          <w:tcPr>
            <w:tcW w:w="1849"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90"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Times New Roman;serif" w:hAnsi="Times New Roman;serif"/>
                <w:b w:val="false"/>
                <w:color w:val="000000"/>
                <w:sz w:val="22"/>
              </w:rPr>
            </w:pPr>
            <w:r>
              <w:rPr>
                <w:rFonts w:ascii="Times New Roman;serif" w:hAnsi="Times New Roman;serif"/>
                <w:b w:val="false"/>
                <w:color w:val="000000"/>
                <w:sz w:val="22"/>
              </w:rPr>
              <w:t>Troutman Pepper Locke LLP</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Troutman Pepper Locke Building, 1001 Haxall Point </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Richmond, VA 23219</w:t>
            </w:r>
          </w:p>
          <w:p>
            <w:pPr>
              <w:pStyle w:val="TableContents"/>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troutman.com</w:t>
            </w:r>
          </w:p>
        </w:tc>
        <w:tc>
          <w:tcPr>
            <w:tcW w:w="3836" w:type="dxa"/>
            <w:gridSpan w:val="3"/>
            <w:tcBorders/>
            <w:tcMar>
              <w:top w:w="0" w:type="dxa"/>
              <w:left w:w="0" w:type="dxa"/>
              <w:bottom w:w="0" w:type="dxa"/>
              <w:right w:w="0" w:type="dxa"/>
            </w:tcMar>
            <w:vAlign w:val="center"/>
          </w:tcPr>
          <w:p>
            <w:pPr>
              <w:pStyle w:val="TableContents"/>
              <w:bidi w:val="0"/>
              <w:spacing w:before="0" w:after="2"/>
              <w:jc w:val="right"/>
              <w:rPr/>
            </w:pPr>
            <w:r>
              <w:rPr/>
              <w:drawing>
                <wp:inline distT="0" distB="0" distL="0" distR="0">
                  <wp:extent cx="2352675" cy="914400"/>
                  <wp:effectExtent l="0" t="0" r="0" b="0"/>
                  <wp:docPr id="1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descr=""/>
                          <pic:cNvPicPr>
                            <a:picLocks noChangeAspect="1" noChangeArrowheads="1"/>
                          </pic:cNvPicPr>
                        </pic:nvPicPr>
                        <pic:blipFill>
                          <a:blip r:embed="rId23"/>
                          <a:stretch>
                            <a:fillRect/>
                          </a:stretch>
                        </pic:blipFill>
                        <pic:spPr bwMode="auto">
                          <a:xfrm>
                            <a:off x="0" y="0"/>
                            <a:ext cx="2352675" cy="914400"/>
                          </a:xfrm>
                          <a:prstGeom prst="rect">
                            <a:avLst/>
                          </a:prstGeom>
                        </pic:spPr>
                      </pic:pic>
                    </a:graphicData>
                  </a:graphic>
                </wp:inline>
              </w:drawing>
            </w:r>
          </w:p>
        </w:tc>
      </w:tr>
    </w:tbl>
    <w:tbl>
      <w:tblPr>
        <w:tblW w:w="387" w:type="dxa"/>
        <w:jc w:val="righ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val="false"/>
          <w:color w:val="000000"/>
          <w:sz w:val="22"/>
        </w:rPr>
      </w:pPr>
      <w:r>
        <w:rPr>
          <w:rFonts w:ascii="Times New Roman;serif" w:hAnsi="Times New Roman;serif"/>
          <w:b w:val="false"/>
          <w:color w:val="000000"/>
          <w:sz w:val="22"/>
        </w:rPr>
        <w:t>August 31, 2026</w:t>
      </w:r>
    </w:p>
    <w:p>
      <w:pPr>
        <w:pStyle w:val="TextBody"/>
        <w:bidi w:val="0"/>
        <w:spacing w:before="0" w:after="0"/>
        <w:jc w:val="center"/>
        <w:rPr/>
      </w:pPr>
      <w:r>
        <w:rPr/>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Unisys Corporation</w:t>
      </w:r>
    </w:p>
    <w:p>
      <w:pPr>
        <w:pStyle w:val="TextBody"/>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801 Lakeview Drive, Suite 100</w:t>
      </w:r>
    </w:p>
    <w:p>
      <w:pPr>
        <w:pStyle w:val="TextBody"/>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Blue Bell, Pennsylvania 19422</w:t>
      </w:r>
    </w:p>
    <w:p>
      <w:pPr>
        <w:pStyle w:val="TextBody"/>
        <w:bidi w:val="0"/>
        <w:spacing w:before="0" w:after="2"/>
        <w:jc w:val="left"/>
        <w:rPr/>
      </w:pPr>
      <w:r>
        <w:rPr/>
      </w:r>
    </w:p>
    <w:p>
      <w:pPr>
        <w:pStyle w:val="TextBody"/>
        <w:bidi w:val="0"/>
        <w:spacing w:lineRule="auto" w:line="268" w:before="0" w:after="0"/>
        <w:jc w:val="center"/>
        <w:rPr>
          <w:rFonts w:ascii="Times New Roman;serif" w:hAnsi="Times New Roman;serif"/>
          <w:b/>
          <w:color w:val="000000"/>
          <w:sz w:val="22"/>
          <w:u w:val="single"/>
        </w:rPr>
      </w:pPr>
      <w:r>
        <w:rPr>
          <w:rFonts w:ascii="Times New Roman;serif" w:hAnsi="Times New Roman;serif"/>
          <w:b/>
          <w:color w:val="000000"/>
          <w:sz w:val="22"/>
          <w:u w:val="single"/>
        </w:rPr>
        <w:t>Registration Statement on Form S-8</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Ladies and Gentlemen:</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We have acted as counsel to Unisys Corporation,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in connection with the filing by the Company on the date hereof of the above-referenced registration statement on Form S-8 (the “</w:t>
      </w:r>
      <w:r>
        <w:rPr>
          <w:rFonts w:ascii="Times New Roman;serif" w:hAnsi="Times New Roman;serif"/>
          <w:b w:val="false"/>
          <w:color w:val="000000"/>
          <w:sz w:val="22"/>
          <w:u w:val="single"/>
        </w:rPr>
        <w:t>Registration Statement</w:t>
      </w:r>
      <w:r>
        <w:rPr>
          <w:color w:val="000000"/>
        </w:rPr>
        <w:t>”</w:t>
      </w:r>
      <w:r>
        <w:rPr>
          <w:rFonts w:ascii="Times New Roman;serif" w:hAnsi="Times New Roman;serif"/>
          <w:b w:val="false"/>
          <w:color w:val="000000"/>
          <w:sz w:val="22"/>
        </w:rPr>
        <w:t>) with the United States Securities and Exchange Commission (the “</w:t>
      </w:r>
      <w:r>
        <w:rPr>
          <w:rFonts w:ascii="Times New Roman;serif" w:hAnsi="Times New Roman;serif"/>
          <w:b w:val="false"/>
          <w:color w:val="000000"/>
          <w:sz w:val="22"/>
          <w:u w:val="single"/>
        </w:rPr>
        <w:t>Commission</w:t>
      </w:r>
      <w:r>
        <w:rPr>
          <w:color w:val="000000"/>
        </w:rPr>
        <w:t>”</w:t>
      </w:r>
      <w:r>
        <w:rPr>
          <w:rFonts w:ascii="Times New Roman;serif" w:hAnsi="Times New Roman;serif"/>
          <w:b w:val="false"/>
          <w:color w:val="000000"/>
          <w:sz w:val="22"/>
        </w:rPr>
        <w:t>) under the Securities Act of 1933, as amended (the “</w:t>
      </w:r>
      <w:r>
        <w:rPr>
          <w:rFonts w:ascii="Times New Roman;serif" w:hAnsi="Times New Roman;serif"/>
          <w:b w:val="false"/>
          <w:color w:val="000000"/>
          <w:sz w:val="22"/>
          <w:u w:val="single"/>
        </w:rPr>
        <w:t>Securities Act</w:t>
      </w:r>
      <w:r>
        <w:rPr>
          <w:color w:val="000000"/>
        </w:rPr>
        <w:t>”</w:t>
      </w:r>
      <w:r>
        <w:rPr>
          <w:rFonts w:ascii="Times New Roman;serif" w:hAnsi="Times New Roman;serif"/>
          <w:b w:val="false"/>
          <w:color w:val="000000"/>
          <w:sz w:val="22"/>
        </w:rPr>
        <w:t>), in connection with the registration of 3,900,000 shares (the “</w:t>
      </w:r>
      <w:r>
        <w:rPr>
          <w:rFonts w:ascii="Times New Roman;serif" w:hAnsi="Times New Roman;serif"/>
          <w:b w:val="false"/>
          <w:color w:val="000000"/>
          <w:sz w:val="22"/>
          <w:u w:val="single"/>
        </w:rPr>
        <w:t>Shares</w:t>
      </w:r>
      <w:r>
        <w:rPr>
          <w:color w:val="000000"/>
        </w:rPr>
        <w:t>”</w:t>
      </w:r>
      <w:r>
        <w:rPr>
          <w:rFonts w:ascii="Times New Roman;serif" w:hAnsi="Times New Roman;serif"/>
          <w:b w:val="false"/>
          <w:color w:val="000000"/>
          <w:sz w:val="22"/>
        </w:rPr>
        <w:t>) of the Company’s common stock, par value $.01 per share (the “</w:t>
      </w:r>
      <w:r>
        <w:rPr>
          <w:rFonts w:ascii="Times New Roman;serif" w:hAnsi="Times New Roman;serif"/>
          <w:b w:val="false"/>
          <w:color w:val="000000"/>
          <w:sz w:val="22"/>
          <w:u w:val="single"/>
        </w:rPr>
        <w:t>Common Stock</w:t>
      </w:r>
      <w:r>
        <w:rPr>
          <w:color w:val="000000"/>
        </w:rPr>
        <w:t>”</w:t>
      </w:r>
      <w:r>
        <w:rPr>
          <w:rFonts w:ascii="Times New Roman;serif" w:hAnsi="Times New Roman;serif"/>
          <w:b w:val="false"/>
          <w:color w:val="000000"/>
          <w:sz w:val="22"/>
        </w:rPr>
        <w:t>), to be issued in accordance with the 2024 Long-Term Incentive and Equity Compensation Plan, as amended (as amended, the “</w:t>
      </w:r>
      <w:r>
        <w:rPr>
          <w:rFonts w:ascii="Times New Roman;serif" w:hAnsi="Times New Roman;serif"/>
          <w:b w:val="false"/>
          <w:color w:val="000000"/>
          <w:sz w:val="22"/>
          <w:u w:val="single"/>
        </w:rPr>
        <w:t>Plan</w:t>
      </w:r>
      <w:r>
        <w:rPr>
          <w:color w:val="000000"/>
        </w:rPr>
        <w:t>”</w:t>
      </w:r>
      <w:r>
        <w:rPr>
          <w:rFonts w:ascii="Times New Roman;serif" w:hAnsi="Times New Roman;serif"/>
          <w:b w:val="false"/>
          <w:color w:val="000000"/>
          <w:sz w:val="22"/>
        </w:rPr>
        <w:t>). The issuance of the Shares pursuant to the Plan was approved by the Board of Directors of the Company (the “</w:t>
      </w:r>
      <w:r>
        <w:rPr>
          <w:rFonts w:ascii="Times New Roman;serif" w:hAnsi="Times New Roman;serif"/>
          <w:b w:val="false"/>
          <w:color w:val="000000"/>
          <w:sz w:val="22"/>
          <w:u w:val="single"/>
        </w:rPr>
        <w:t>Board</w:t>
      </w:r>
      <w:r>
        <w:rPr>
          <w:color w:val="000000"/>
        </w:rPr>
        <w:t>”</w:t>
      </w:r>
      <w:r>
        <w:rPr>
          <w:rFonts w:ascii="Times New Roman;serif" w:hAnsi="Times New Roman;serif"/>
          <w:b w:val="false"/>
          <w:color w:val="000000"/>
          <w:sz w:val="22"/>
        </w:rPr>
        <w:t>) on February 16, 2026 and was approved by the stockholders of the Company on April 30, 2026, at the Company’s 2026 Annual Meeting of Stockholders.</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This opinion is being furnished in accordance with the requirements of Item 8(a) of Form S-8 and Item 601(b)(5)(i) of Regulation S-K.</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2"/>
        </w:rPr>
        <w:t>For purposes of this opinion letter, we have examined originals or copies, certified or otherwise identified to our satisfaction, of such corporate records, agreements, and other instruments, certificates, orders, opinions, correspondence with public officials, certificates provided by the Company’s officers and representatives, and other documents as we have deemed necessary or advisable for the purposes of rendering the opinion set forth herein, including (i) the corporate and organizational documents of the Company, including the Amended and Restated Certificate of Incorporation, as amended to date (the “</w:t>
      </w:r>
      <w:r>
        <w:rPr>
          <w:rFonts w:ascii="Times New Roman;serif" w:hAnsi="Times New Roman;serif"/>
          <w:b w:val="false"/>
          <w:color w:val="000000"/>
          <w:sz w:val="22"/>
          <w:u w:val="single"/>
        </w:rPr>
        <w:t>Certificate of Incorporation</w:t>
      </w:r>
      <w:r>
        <w:rPr>
          <w:color w:val="000000"/>
        </w:rPr>
        <w:t>”</w:t>
      </w:r>
      <w:r>
        <w:rPr>
          <w:rFonts w:ascii="Times New Roman;serif" w:hAnsi="Times New Roman;serif"/>
          <w:b w:val="false"/>
          <w:color w:val="000000"/>
          <w:sz w:val="22"/>
        </w:rPr>
        <w:t>), and the Amended and Restated Bylaws, as amended to date, (ii) the resolutions (the “</w:t>
      </w:r>
      <w:r>
        <w:rPr>
          <w:rFonts w:ascii="Times New Roman;serif" w:hAnsi="Times New Roman;serif"/>
          <w:b w:val="false"/>
          <w:color w:val="000000"/>
          <w:sz w:val="22"/>
          <w:u w:val="single"/>
        </w:rPr>
        <w:t>Resolutions</w:t>
      </w:r>
      <w:r>
        <w:rPr>
          <w:color w:val="000000"/>
        </w:rPr>
        <w:t>”</w:t>
      </w:r>
      <w:r>
        <w:rPr>
          <w:rFonts w:ascii="Times New Roman;serif" w:hAnsi="Times New Roman;serif"/>
          <w:b w:val="false"/>
          <w:color w:val="000000"/>
          <w:sz w:val="22"/>
        </w:rPr>
        <w:t>) of the Board with respect to the offering and issuance of the Shares under the Plan and certain related matters, (iii) the Plan and (iv) the Registration Statement and exhibits thereto.</w:t>
      </w:r>
    </w:p>
    <w:p>
      <w:pPr>
        <w:pStyle w:val="TextBody"/>
        <w:bidi w:val="0"/>
        <w:spacing w:before="0" w:after="0"/>
        <w:jc w:val="left"/>
        <w:rPr/>
      </w:pPr>
      <w:r>
        <w:rPr/>
      </w:r>
    </w:p>
    <w:p>
      <w:pPr>
        <w:pStyle w:val="TextBody"/>
        <w:bidi w:val="0"/>
        <w:spacing w:lineRule="auto" w:line="268"/>
        <w:jc w:val="both"/>
        <w:rPr>
          <w:rFonts w:ascii="Times New Roman;serif" w:hAnsi="Times New Roman;serif"/>
          <w:b w:val="false"/>
          <w:color w:val="000000"/>
          <w:sz w:val="22"/>
        </w:rPr>
      </w:pPr>
      <w:r>
        <w:rPr>
          <w:rFonts w:ascii="Times New Roman;serif" w:hAnsi="Times New Roman;serif"/>
          <w:b w:val="false"/>
          <w:color w:val="000000"/>
          <w:sz w:val="22"/>
        </w:rPr>
        <w:t xml:space="preserve">For purposes of the opinion expressed below, we have assumed (i) the authenticity of all documents submitted to us as originals, (ii) the conformity to the originals of all documents submitted as certified, photostatic or electronic copies and the authenticity of the originals thereof, (iii) the legal capacity of natural persons, (iv) the genuineness of all signatures, including electronic signatures, not witnessed by us, (v) the due authorization, execution and delivery of all documents by all parties, other than the Company, and the validity, binding effect and enforceability thereof and (vi) the truth, accuracy and completeness of the information, representations and warranties contained in the records, documents, instruments and certificates we have reviewed. As to all matters of fact, we have relied on the </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tbl>
      <w:tblPr>
        <w:tblW w:w="5093" w:type="dxa"/>
        <w:jc w:val="left"/>
        <w:tblInd w:w="0" w:type="dxa"/>
        <w:tblLayout w:type="fixed"/>
        <w:tblCellMar>
          <w:top w:w="28" w:type="dxa"/>
          <w:left w:w="28" w:type="dxa"/>
          <w:bottom w:w="28" w:type="dxa"/>
          <w:right w:w="28" w:type="dxa"/>
        </w:tblCellMar>
      </w:tblPr>
      <w:tblGrid>
        <w:gridCol w:w="1141"/>
        <w:gridCol w:w="1004"/>
        <w:gridCol w:w="1005"/>
        <w:gridCol w:w="109"/>
        <w:gridCol w:w="109"/>
        <w:gridCol w:w="109"/>
        <w:gridCol w:w="473"/>
        <w:gridCol w:w="473"/>
        <w:gridCol w:w="670"/>
      </w:tblGrid>
      <w:tr>
        <w:trPr/>
        <w:tc>
          <w:tcPr>
            <w:tcW w:w="114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Unisys Corporation                                </w:t>
            </w:r>
          </w:p>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August 31, 2026</w:t>
            </w:r>
          </w:p>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Page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before="0" w:after="2"/>
              <w:jc w:val="right"/>
              <w:rPr/>
            </w:pPr>
            <w:r>
              <w:rPr/>
              <w:drawing>
                <wp:inline distT="0" distB="0" distL="0" distR="0">
                  <wp:extent cx="942975" cy="361950"/>
                  <wp:effectExtent l="0" t="0" r="0" b="0"/>
                  <wp:docPr id="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 descr=""/>
                          <pic:cNvPicPr>
                            <a:picLocks noChangeAspect="1" noChangeArrowheads="1"/>
                          </pic:cNvPicPr>
                        </pic:nvPicPr>
                        <pic:blipFill>
                          <a:blip r:embed="rId24"/>
                          <a:stretch>
                            <a:fillRect/>
                          </a:stretch>
                        </pic:blipFill>
                        <pic:spPr bwMode="auto">
                          <a:xfrm>
                            <a:off x="0" y="0"/>
                            <a:ext cx="942975" cy="361950"/>
                          </a:xfrm>
                          <a:prstGeom prst="rect">
                            <a:avLst/>
                          </a:prstGeom>
                        </pic:spPr>
                      </pic:pic>
                    </a:graphicData>
                  </a:graphic>
                </wp:inline>
              </w:drawing>
            </w:r>
          </w:p>
        </w:tc>
      </w:tr>
    </w:tbl>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representations and statements of fact made in the documents so reviewed, and we have not independently established the facts so relied on. This opinion letter is given, and all statements herein are made, in the context of the foregoing.</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Based on the foregoing, and in reliance thereon, and subject to the assumptions, comments, qualifications, limitations and exceptions set forth herein, we are of the opinion that the Shares have been duly authorized for issuance, and, when and if issued, delivered and paid for in accordance with the Certificate of Incorporation, the Plan, the Registration Statement and the Resolutions (assuming that, upon any issuance of the Shares, the total number of shares of Common Stock issued and outstanding will not exceed the total number of shares of Common Stock that the Company is then authorized to issue under the Certificate of Incorporation), such Shares will be legally issued, fully paid and non-assessable.</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We express no opinion as to the effect of the laws of any state or jurisdiction, other than the laws of the State of Delaware, or as to the securities or blue sky laws of any state (including, without limitation, Delaware), municipal law or the laws of any local agencies within any state (including, without limitation, Delaware). The opinions set forth herein are limited to the matters stated herein, and no opinion is implied or may be inferred beyond the matters expressly stated herein.</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The opinions set forth herein are made as of the date hereof and are subject to, and may be limited by, future changes in the factual matters set forth herein, and we undertake no duty to advise you of the same. The opinions expressed herein are based upon the laws in effect (and published or otherwise generally available) on the date hereof, and we assume no obligation to revise or supplement these opinions should such law be changed by legislative action, judicial decision or otherwise. In rendering our opinions, we have not considered, and hereby disclaim any opinion as to, the application or impact of any laws, cases, decisions, rules or regulations of any other jurisdiction, court or administrative agency.</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We do not render any opinions except as set forth above. We hereby consent to the filing of this opinion as an exhibit to the Registration Statement and to the use of our name wherever appearing in the Registration Statement. We also consent to your filing copies of this opinion as an exhibit to the Registration Statement with such agencies of such states as you deem necessary in the course of complying with the laws of such states regarding the offering and sale of the securities addressed herein. In giving this consent, we do not admit that we are within the category of persons whose consent is required by Section 7 of the Securities Act or the rules and regulations promulgated thereunder by the Commission.</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tbl>
      <w:tblPr>
        <w:tblW w:w="3149" w:type="dxa"/>
        <w:jc w:val="left"/>
        <w:tblInd w:w="0" w:type="dxa"/>
        <w:tblLayout w:type="fixed"/>
        <w:tblCellMar>
          <w:top w:w="28" w:type="dxa"/>
          <w:left w:w="28" w:type="dxa"/>
          <w:bottom w:w="28" w:type="dxa"/>
          <w:right w:w="28" w:type="dxa"/>
        </w:tblCellMar>
      </w:tblPr>
      <w:tblGrid>
        <w:gridCol w:w="1007"/>
        <w:gridCol w:w="884"/>
        <w:gridCol w:w="1258"/>
      </w:tblGrid>
      <w:tr>
        <w:trPr/>
        <w:tc>
          <w:tcPr>
            <w:tcW w:w="1007"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2"/>
              </w:rPr>
            </w:pPr>
            <w:r>
              <w:rPr>
                <w:rFonts w:ascii="Times New Roman;serif" w:hAnsi="Times New Roman;serif"/>
                <w:b w:val="false"/>
                <w:color w:val="000000"/>
                <w:sz w:val="22"/>
              </w:rPr>
              <w:t>Very truly yours,</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2"/>
              </w:rPr>
            </w:pPr>
            <w:r>
              <w:rPr>
                <w:rFonts w:ascii="Times New Roman;serif" w:hAnsi="Times New Roman;serif"/>
                <w:b w:val="false"/>
                <w:color w:val="000000"/>
                <w:sz w:val="22"/>
              </w:rPr>
              <w:t>/s/ Troutman Pepper Locke LLP</w:t>
            </w:r>
          </w:p>
        </w:tc>
      </w:tr>
      <w:tr>
        <w:trPr/>
        <w:tc>
          <w:tcPr>
            <w:tcW w:w="3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49" w:type="dxa"/>
            <w:gridSpan w:val="3"/>
            <w:tcBorders/>
            <w:tcMar>
              <w:top w:w="0" w:type="dxa"/>
              <w:left w:w="0" w:type="dxa"/>
              <w:bottom w:w="0" w:type="dxa"/>
              <w:right w:w="0" w:type="dxa"/>
            </w:tcMar>
            <w:vAlign w:val="center"/>
          </w:tcPr>
          <w:p>
            <w:pPr>
              <w:pStyle w:val="TableContents"/>
              <w:bidi w:val="0"/>
              <w:spacing w:lineRule="auto" w:line="268" w:before="0" w:after="2"/>
              <w:jc w:val="left"/>
              <w:rPr>
                <w:rFonts w:ascii="Times New Roman;serif" w:hAnsi="Times New Roman;serif"/>
                <w:b w:val="false"/>
                <w:color w:val="000000"/>
                <w:sz w:val="22"/>
              </w:rPr>
            </w:pPr>
            <w:r>
              <w:rPr>
                <w:rFonts w:ascii="Times New Roman;serif" w:hAnsi="Times New Roman;serif"/>
                <w:b w:val="false"/>
                <w:color w:val="000000"/>
                <w:sz w:val="22"/>
              </w:rPr>
              <w:t>Troutman Pepper Locke LLP</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00" w:before="0" w:after="2"/>
        <w:jc w:val="right"/>
        <w:rPr>
          <w:rFonts w:ascii="Times New Roman;serif" w:hAnsi="Times New Roman;serif"/>
          <w:b w:val="false"/>
          <w:color w:val="000000"/>
          <w:sz w:val="22"/>
        </w:rPr>
      </w:pPr>
      <w:r>
        <w:rPr>
          <w:rFonts w:ascii="Times New Roman;serif" w:hAnsi="Times New Roman;serif"/>
          <w:b w:val="false"/>
          <w:color w:val="000000"/>
          <w:sz w:val="22"/>
        </w:rPr>
        <w:t>Exhibit 23.1</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7.6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2"/>
        </w:rPr>
      </w:pPr>
      <w:r>
        <w:rPr>
          <w:rFonts w:ascii="Times New Roman;serif" w:hAnsi="Times New Roman;serif"/>
          <w:b/>
          <w:color w:val="000000"/>
          <w:sz w:val="22"/>
        </w:rPr>
        <w:t>CONSENT OF INDEPENDENT REGISTERED PUBLIC ACCOUNTING FIRM</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We have issued our reports dated February 25, 2026, with respect to the consolidated financial statements and internal control over financial reporting of Unisys Corporation included in the Annual Report on Form 10-K for the year ended December 31, 2025, which are incorporated by reference in this Registration Statement. We consent to the incorporation by reference of the aforementioned reports in this Registration Statement. </w:t>
      </w:r>
    </w:p>
    <w:p>
      <w:pPr>
        <w:pStyle w:val="TextBody"/>
        <w:bidi w:val="0"/>
        <w:spacing w:before="0" w:after="0"/>
        <w:jc w:val="left"/>
        <w:rPr/>
      </w:pPr>
      <w:r>
        <w:rPr/>
      </w:r>
    </w:p>
    <w:p>
      <w:pPr>
        <w:pStyle w:val="TextBody"/>
        <w:bidi w:val="0"/>
        <w:spacing w:before="0" w:after="2"/>
        <w:jc w:val="left"/>
        <w:rPr/>
      </w:pPr>
      <w:r>
        <w:rPr/>
      </w:r>
    </w:p>
    <w:p>
      <w:pPr>
        <w:pStyle w:val="TextBody"/>
        <w:bidi w:val="0"/>
        <w:spacing w:lineRule="auto" w:line="26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/s/ Grant Thornton LLP </w:t>
      </w:r>
    </w:p>
    <w:p>
      <w:pPr>
        <w:pStyle w:val="TextBody"/>
        <w:bidi w:val="0"/>
        <w:spacing w:lineRule="auto" w:line="300" w:before="0" w:after="2"/>
        <w:jc w:val="left"/>
        <w:rPr>
          <w:rFonts w:ascii="Times New Roman;serif" w:hAnsi="Times New Roman;serif"/>
          <w:b w:val="false"/>
          <w:color w:val="000000"/>
          <w:sz w:val="22"/>
        </w:rPr>
      </w:pPr>
      <w:r>
        <w:rPr>
          <w:rFonts w:ascii="Times New Roman;serif" w:hAnsi="Times New Roman;serif"/>
          <w:b w:val="false"/>
          <w:color w:val="000000"/>
          <w:sz w:val="22"/>
        </w:rPr>
        <w:t>Philadelphia, Pennsylvania</w:t>
      </w:r>
    </w:p>
    <w:p>
      <w:pPr>
        <w:pStyle w:val="TextBody"/>
        <w:bidi w:val="0"/>
        <w:spacing w:lineRule="auto" w:line="240" w:before="0" w:after="0"/>
        <w:jc w:val="left"/>
        <w:rPr>
          <w:rFonts w:ascii="Times New Roman;serif" w:hAnsi="Times New Roman;serif"/>
          <w:b w:val="false"/>
          <w:color w:val="000000"/>
          <w:sz w:val="22"/>
        </w:rPr>
      </w:pPr>
      <w:r>
        <w:rPr>
          <w:rFonts w:ascii="Times New Roman;serif" w:hAnsi="Times New Roman;serif"/>
          <w:b w:val="false"/>
          <w:color w:val="000000"/>
          <w:sz w:val="22"/>
        </w:rPr>
        <w:t>August 31, 2026</w:t>
      </w:r>
    </w:p>
    <w:p>
      <w:pPr>
        <w:pStyle w:val="TextBody"/>
        <w:bidi w:val="0"/>
        <w:spacing w:before="0" w:after="1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746838/000074683826000006/uis-20251231.htm" TargetMode="External"/><Relationship Id="rId3" Type="http://schemas.openxmlformats.org/officeDocument/2006/relationships/hyperlink" Target="https://www.sec.gov/ix?doc=/Archives/edgar/data/0000746838/000074683826000018/uis-20260331.htm" TargetMode="External"/><Relationship Id="rId4" Type="http://schemas.openxmlformats.org/officeDocument/2006/relationships/hyperlink" Target="https://www.sec.gov/ix?doc=/Archives/edgar/data/0000746838/000074683826000027/uis-20260630.htm" TargetMode="External"/><Relationship Id="rId5" Type="http://schemas.openxmlformats.org/officeDocument/2006/relationships/hyperlink" Target="https://www.sec.gov/ix?doc=/Archives/edgar/data/0000746838/000130817926000082/uis-20260316.htm" TargetMode="External"/><Relationship Id="rId6" Type="http://schemas.openxmlformats.org/officeDocument/2006/relationships/hyperlink" Target="https://www.sec.gov/ix?doc=/Archives/edgar/data/0000746838/000074683826000003/uis-20260224.htm" TargetMode="External"/><Relationship Id="rId7" Type="http://schemas.openxmlformats.org/officeDocument/2006/relationships/hyperlink" Target="https://www.sec.gov/ix?doc=/Archives/edgar/data/0000746838/000074683826000012/uis-20260430.htm" TargetMode="External"/><Relationship Id="rId8" Type="http://schemas.openxmlformats.org/officeDocument/2006/relationships/hyperlink" Target="https://www.sec.gov/Archives/edgar/data/746838/000074683821000014/ex4510-k2020.htm" TargetMode="External"/><Relationship Id="rId9" Type="http://schemas.openxmlformats.org/officeDocument/2006/relationships/hyperlink" Target="https://www.sec.gov/Archives/edgar/data/746838/000110465925048477/tm2514710d1_ex3-1.htm" TargetMode="External"/><Relationship Id="rId10" Type="http://schemas.openxmlformats.org/officeDocument/2006/relationships/hyperlink" Target="https://www.sec.gov/Archives/edgar/data/746838/000110465925116956/tm2532123d1_ex3-1.htm" TargetMode="External"/><Relationship Id="rId11" Type="http://schemas.openxmlformats.org/officeDocument/2006/relationships/hyperlink" Target="https://www.sec.gov/Archives/edgar/data/746838/000110465925116956/tm2532123d1_ex3-1.htm" TargetMode="External"/><Relationship Id="rId12" Type="http://schemas.openxmlformats.org/officeDocument/2006/relationships/hyperlink" Target="https://www.sec.gov/Archives/edgar/data/746838/000110465925116956/tm2532123d1_ex3-1.htm" TargetMode="External"/><Relationship Id="rId13" Type="http://schemas.openxmlformats.org/officeDocument/2006/relationships/hyperlink" Target="https://www.sec.gov/Archives/edgar/data/746838/000110465925116956/tm2532123d1_ex3-1.htm" TargetMode="External"/><Relationship Id="rId14" Type="http://schemas.openxmlformats.org/officeDocument/2006/relationships/hyperlink" Target="https://www.sec.gov/Archives/edgar/data/746838/000110465925116956/tm2532123d1_ex3-1.htm" TargetMode="External"/><Relationship Id="rId15" Type="http://schemas.openxmlformats.org/officeDocument/2006/relationships/hyperlink" Target="https://www.sec.gov/Archives/edgar/data/746838/000110465925116956/tm2532123d1_ex3-1.htm" TargetMode="External"/><Relationship Id="rId16" Type="http://schemas.openxmlformats.org/officeDocument/2006/relationships/hyperlink" Target="https://www.sec.gov/Archives/edgar/data/746838/000110465925116956/tm2532123d1_ex3-2.htm" TargetMode="External"/><Relationship Id="rId17" Type="http://schemas.openxmlformats.org/officeDocument/2006/relationships/hyperlink" Target="https://www.sec.gov/Archives/edgar/data/746838/000110465925116956/tm2532123d1_ex3-2.htm" TargetMode="External"/><Relationship Id="rId18" Type="http://schemas.openxmlformats.org/officeDocument/2006/relationships/hyperlink" Target="https://www.sec.gov/Archives/edgar/data/746838/000110465925116956/tm2532123d1_ex3-2.htm" TargetMode="External"/><Relationship Id="rId19" Type="http://schemas.openxmlformats.org/officeDocument/2006/relationships/hyperlink" Target="https://www.sec.gov/Archives/edgar/data/746838/000110465925116956/tm2532123d1_ex3-2.htm" TargetMode="External"/><Relationship Id="rId20" Type="http://schemas.openxmlformats.org/officeDocument/2006/relationships/hyperlink" Target="https://www.sec.gov/Archives/edgar/data/746838/000110465925116956/tm2532123d1_ex3-2.htm" TargetMode="External"/><Relationship Id="rId21" Type="http://schemas.openxmlformats.org/officeDocument/2006/relationships/hyperlink" Target="https://www.sec.gov/Archives/edgar/data/746838/000119312518190568/d573664dex49.htm" TargetMode="External"/><Relationship Id="rId22" Type="http://schemas.openxmlformats.org/officeDocument/2006/relationships/hyperlink" Target="https://www.sec.gov/ix?doc=/Archives/edgar/data/746838/000110465924037875/tm241575d5_def14a.htm" TargetMode="External"/><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4947</Words>
  <Characters>26824</Characters>
  <CharactersWithSpaces>31694</CharactersWithSpaces>
  <Paragraphs>263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