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1-8729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UNISYS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0" w:type="dxa"/>
        <w:jc w:val="left"/>
        <w:tblInd w:w="0" w:type="dxa"/>
        <w:tblLayout w:type="fixed"/>
        <w:tblCellMar>
          <w:top w:w="28" w:type="dxa"/>
          <w:left w:w="28" w:type="dxa"/>
          <w:bottom w:w="28" w:type="dxa"/>
          <w:right w:w="28" w:type="dxa"/>
        </w:tblCellMar>
      </w:tblPr>
      <w:tblGrid>
        <w:gridCol w:w="807"/>
        <w:gridCol w:w="708"/>
        <w:gridCol w:w="719"/>
        <w:gridCol w:w="109"/>
        <w:gridCol w:w="109"/>
        <w:gridCol w:w="109"/>
        <w:gridCol w:w="420"/>
        <w:gridCol w:w="420"/>
        <w:gridCol w:w="599"/>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38-0387840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801 Lakeview Drive, Suite 100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Blue Bell, Pennsylvania 19422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60" w:after="283"/>
        <w:jc w:val="center"/>
        <w:rPr/>
      </w:pPr>
      <w:r>
        <w:rPr>
          <w:rFonts w:ascii="Times New Roman;serif" w:hAnsi="Times New Roman;serif"/>
          <w:b/>
          <w:color w:val="000000"/>
          <w:sz w:val="20"/>
        </w:rPr>
        <w:t>(215) 986-4011</w:t>
      </w:r>
      <w:r>
        <w:rPr>
          <w:color w:val="000000"/>
        </w:rPr>
        <w:t>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4440" w:type="dxa"/>
        <w:jc w:val="center"/>
        <w:tblInd w:w="0" w:type="dxa"/>
        <w:tblLayout w:type="fixed"/>
        <w:tblCellMar>
          <w:top w:w="28" w:type="dxa"/>
          <w:left w:w="28" w:type="dxa"/>
          <w:bottom w:w="28" w:type="dxa"/>
          <w:right w:w="28" w:type="dxa"/>
        </w:tblCellMar>
      </w:tblPr>
      <w:tblGrid>
        <w:gridCol w:w="1419"/>
        <w:gridCol w:w="1247"/>
        <w:gridCol w:w="177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58" w:type="dxa"/>
        <w:jc w:val="center"/>
        <w:tblInd w:w="0" w:type="dxa"/>
        <w:tblLayout w:type="fixed"/>
        <w:tblCellMar>
          <w:top w:w="28" w:type="dxa"/>
          <w:left w:w="28" w:type="dxa"/>
          <w:bottom w:w="28" w:type="dxa"/>
          <w:right w:w="28" w:type="dxa"/>
        </w:tblCellMar>
      </w:tblPr>
      <w:tblGrid>
        <w:gridCol w:w="950"/>
        <w:gridCol w:w="832"/>
        <w:gridCol w:w="842"/>
        <w:gridCol w:w="309"/>
        <w:gridCol w:w="309"/>
        <w:gridCol w:w="311"/>
        <w:gridCol w:w="1085"/>
        <w:gridCol w:w="1085"/>
        <w:gridCol w:w="1535"/>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6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w:t>
            </w:r>
          </w:p>
        </w:tc>
        <w:tc>
          <w:tcPr>
            <w:tcW w:w="9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UIS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5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Number of shares of Unisys Common Stock, par value $.01, outstanding as of June 30, 2026: 72,915,955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835" w:type="dxa"/>
        <w:jc w:val="center"/>
        <w:tblInd w:w="0" w:type="dxa"/>
        <w:tblLayout w:type="fixed"/>
        <w:tblCellMar>
          <w:top w:w="28" w:type="dxa"/>
          <w:left w:w="28" w:type="dxa"/>
          <w:bottom w:w="28" w:type="dxa"/>
          <w:right w:w="28" w:type="dxa"/>
        </w:tblCellMar>
      </w:tblPr>
      <w:tblGrid>
        <w:gridCol w:w="304"/>
        <w:gridCol w:w="266"/>
        <w:gridCol w:w="269"/>
        <w:gridCol w:w="2453"/>
        <w:gridCol w:w="2453"/>
        <w:gridCol w:w="2458"/>
        <w:gridCol w:w="109"/>
        <w:gridCol w:w="109"/>
        <w:gridCol w:w="109"/>
        <w:gridCol w:w="382"/>
        <w:gridCol w:w="382"/>
        <w:gridCol w:w="54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Number</w:t>
            </w:r>
          </w:p>
        </w:tc>
      </w:tr>
      <w:tr>
        <w:trPr/>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Concerning Forward-Looking Statements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c0cece63f11c40f0b9f8ef1038a4f974_10">
              <w:r>
                <w:rPr>
                  <w:rStyle w:val="InternetLink"/>
                  <w:rFonts w:ascii="Times New Roman;serif" w:hAnsi="Times New Roman;serif"/>
                  <w:b w:val="false"/>
                  <w:color w:val="0000FF"/>
                  <w:sz w:val="20"/>
                  <w:u w:val="single"/>
                </w:rPr>
                <w:t>2</w:t>
              </w:r>
            </w:hyperlink>
          </w:p>
        </w:tc>
      </w:tr>
      <w:tr>
        <w:trPr/>
        <w:tc>
          <w:tcPr>
            <w:tcW w:w="82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9">
              <w:r>
                <w:rPr>
                  <w:rStyle w:val="InternetLink"/>
                  <w:rFonts w:ascii="Times New Roman;serif" w:hAnsi="Times New Roman;serif"/>
                  <w:b w:val="false"/>
                  <w:color w:val="0000FF"/>
                  <w:sz w:val="20"/>
                  <w:u w:val="single"/>
                </w:rPr>
                <w:t>4</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22">
              <w:r>
                <w:rPr>
                  <w:rStyle w:val="InternetLink"/>
                  <w:rFonts w:ascii="Times New Roman;serif" w:hAnsi="Times New Roman;serif"/>
                  <w:b w:val="false"/>
                  <w:color w:val="0000FF"/>
                  <w:sz w:val="20"/>
                  <w:u w:val="single"/>
                </w:rPr>
                <w:t>5</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25">
              <w:r>
                <w:rPr>
                  <w:rStyle w:val="InternetLink"/>
                  <w:rFonts w:ascii="Times New Roman;serif" w:hAnsi="Times New Roman;serif"/>
                  <w:b w:val="false"/>
                  <w:color w:val="0000FF"/>
                  <w:sz w:val="20"/>
                  <w:u w:val="single"/>
                </w:rPr>
                <w:t>6</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28">
              <w:r>
                <w:rPr>
                  <w:rStyle w:val="InternetLink"/>
                  <w:rFonts w:ascii="Times New Roman;serif" w:hAnsi="Times New Roman;serif"/>
                  <w:b w:val="false"/>
                  <w:color w:val="0000FF"/>
                  <w:sz w:val="20"/>
                  <w:u w:val="single"/>
                </w:rPr>
                <w:t>7</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31">
              <w:r>
                <w:rPr>
                  <w:rStyle w:val="InternetLink"/>
                  <w:rFonts w:ascii="Times New Roman;serif" w:hAnsi="Times New Roman;serif"/>
                  <w:b w:val="false"/>
                  <w:color w:val="0000FF"/>
                  <w:sz w:val="20"/>
                  <w:u w:val="single"/>
                </w:rPr>
                <w:t>8</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34">
              <w:r>
                <w:rPr>
                  <w:rStyle w:val="InternetLink"/>
                  <w:rFonts w:ascii="Times New Roman;serif" w:hAnsi="Times New Roman;serif"/>
                  <w:b w:val="false"/>
                  <w:color w:val="0000FF"/>
                  <w:sz w:val="20"/>
                  <w:u w:val="single"/>
                </w:rPr>
                <w:t>9</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97">
              <w:r>
                <w:rPr>
                  <w:rStyle w:val="InternetLink"/>
                  <w:rFonts w:ascii="Times New Roman;serif" w:hAnsi="Times New Roman;serif"/>
                  <w:b w:val="false"/>
                  <w:color w:val="0000FF"/>
                  <w:sz w:val="20"/>
                  <w:u w:val="single"/>
                </w:rPr>
                <w:t>24</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12">
              <w:r>
                <w:rPr>
                  <w:rStyle w:val="InternetLink"/>
                  <w:rFonts w:ascii="Times New Roman;serif" w:hAnsi="Times New Roman;serif"/>
                  <w:b w:val="false"/>
                  <w:color w:val="0000FF"/>
                  <w:sz w:val="20"/>
                  <w:u w:val="single"/>
                </w:rPr>
                <w:t>33</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15">
              <w:r>
                <w:rPr>
                  <w:rStyle w:val="InternetLink"/>
                  <w:rFonts w:ascii="Times New Roman;serif" w:hAnsi="Times New Roman;serif"/>
                  <w:b w:val="false"/>
                  <w:color w:val="0000FF"/>
                  <w:sz w:val="20"/>
                  <w:u w:val="single"/>
                </w:rPr>
                <w:t>33</w:t>
              </w:r>
            </w:hyperlink>
          </w:p>
        </w:tc>
      </w:tr>
      <w:tr>
        <w:trPr/>
        <w:tc>
          <w:tcPr>
            <w:tcW w:w="98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r>
      <w:tr>
        <w:trPr/>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hyperlink w:anchor="ic0cece63f11c40f0b9f8ef1038a4f974_121">
              <w:r>
                <w:rPr>
                  <w:rStyle w:val="InternetLink"/>
                  <w:rFonts w:ascii="Times New Roman;serif" w:hAnsi="Times New Roman;serif"/>
                  <w:b w:val="false"/>
                  <w:color w:val="0000FF"/>
                  <w:sz w:val="20"/>
                  <w:u w:val="single"/>
                </w:rPr>
                <w:t>34</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24">
              <w:r>
                <w:rPr>
                  <w:rStyle w:val="InternetLink"/>
                  <w:rFonts w:ascii="Times New Roman;serif" w:hAnsi="Times New Roman;serif"/>
                  <w:b w:val="false"/>
                  <w:color w:val="0000FF"/>
                  <w:sz w:val="20"/>
                  <w:u w:val="single"/>
                </w:rPr>
                <w:t>34</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27">
              <w:r>
                <w:rPr>
                  <w:rStyle w:val="InternetLink"/>
                  <w:rFonts w:ascii="Times New Roman;serif" w:hAnsi="Times New Roman;serif"/>
                  <w:b w:val="false"/>
                  <w:color w:val="0000FF"/>
                  <w:sz w:val="20"/>
                  <w:u w:val="single"/>
                </w:rPr>
                <w:t>34</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30">
              <w:r>
                <w:rPr>
                  <w:rStyle w:val="InternetLink"/>
                  <w:rFonts w:ascii="Times New Roman;serif" w:hAnsi="Times New Roman;serif"/>
                  <w:b w:val="false"/>
                  <w:color w:val="0000FF"/>
                  <w:sz w:val="20"/>
                  <w:u w:val="single"/>
                </w:rPr>
                <w:t>34</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33">
              <w:r>
                <w:rPr>
                  <w:rStyle w:val="InternetLink"/>
                  <w:rFonts w:ascii="Times New Roman;serif" w:hAnsi="Times New Roman;serif"/>
                  <w:b w:val="false"/>
                  <w:color w:val="0000FF"/>
                  <w:sz w:val="20"/>
                  <w:u w:val="single"/>
                </w:rPr>
                <w:t>35</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36">
              <w:r>
                <w:rPr>
                  <w:rStyle w:val="InternetLink"/>
                  <w:rFonts w:ascii="Times New Roman;serif" w:hAnsi="Times New Roman;serif"/>
                  <w:b w:val="false"/>
                  <w:color w:val="0000FF"/>
                  <w:sz w:val="20"/>
                  <w:u w:val="single"/>
                </w:rPr>
                <w:t>36</w:t>
              </w:r>
            </w:hyperlink>
          </w:p>
        </w:tc>
      </w:tr>
      <w:tr>
        <w:trPr/>
        <w:tc>
          <w:tcPr>
            <w:tcW w:w="82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cece63f11c40f0b9f8ef1038a4f974_139">
              <w:r>
                <w:rPr>
                  <w:rStyle w:val="InternetLink"/>
                  <w:rFonts w:ascii="Times New Roman;serif" w:hAnsi="Times New Roman;serif"/>
                  <w:b w:val="false"/>
                  <w:color w:val="0000FF"/>
                  <w:sz w:val="20"/>
                  <w:u w:val="single"/>
                </w:rPr>
                <w:t>37</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INFORMATION CONCERNING 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in this report, including, without limitation, statements as to management expectations, assumptions and beliefs presented in Part I, Item 2. “Management's Discussion and Analysis of Financial Condition and Results of Operations,” Part I, Item 3. “Quantitative and Qualitative Disclosures About Market Risk,” Part II, Item 1. “Legal Proceedings” and in the notes to the financial statements are forward-looking statements within the meaning of Section 27A of the Securities Act of 1933, as amended, Section 21E of the Securities Exchange Act of 1934, as amended, and the Private Securities Litigation Reform Act of 1995.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on us. There can be no assurance that future developments will be in accordance with management's expectations, assumptions or beliefs, or that the effect of future developments on us will be those anticipated by management. Because actual results may differ materially from those expressed or implied by these forward-looking statements, we caution readers not to place undue reliance on these statements. Any forward-looking statement speaks only as of the date on which that statement is made. The company assumes no obligation to update any forward-looking statement to reflect events or circumstances that occur after the date on which the statement is made, except as required by applicable law.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factors that could cause actual results to differ materially from our expectations, assumptions and beliefs include, but are not limited to, those discussed in Item 1A. Risk Factors of our Annual Report on Form 10-K for the fiscal year ended December 31, 2025, as summarized below, our ability to:</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Business and Operating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maintain our installed base and sell new solutions and related services;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grow revenue, expand profit margin and generate sufficient cash flows in our businesses;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effectively anticipate and respond to rapid technological innovation, such as artificial intelligence among others, in our industry;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cybersecurity incidents, security incidents and breaches and other disruptions in our IT systems;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adapt to the adverse effects of volatile, negative or uncertain economic, geopolitical and political conditions, as well as acts of war, terrorism, natural disasters or the widespread outbreak of infectious diseases;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work with government and public sector clients and additional risks inherent in the government contracting and public sector environment;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respond to the potential adverse effects of aggressive competition;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attract, retain, and develop skilled employees to align with global client demand and retain and develop strong leaders;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achieve expected profitability or expected level of revenue from our commercial contracts;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manage the pricing, performance and capabilities of third parties with whom we have commercial relationships;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meet our underfunded defined benefit pension plan obligations;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maintain our credit rating or access financing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comply with the terms of the credit agreement that governs the Amended and Restated Asset Based Lending Credit Facility and the 10.625% Senior Secured Notes due 2031 indenture;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protect or enforce our intellectual property rights and defend against infringement claims;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adapt to an evolving international trade and tariff environment;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the business and financial risk in the completion of acquisitions or dispositions;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Legal and Regulatory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comply with global legal and regulatory requirements;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the legal risks related to artificial intelligence and other machine learning technology that are integrated into our services and solutions;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exposure to legal proceedings, investigations compliance and environmental matters;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meet global sustainability standards and expectations, achieve our sustainability goals and comply with sustainability laws and regulations;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maintain an effective system of internal controls over financial reporting and disclosure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3260"/>
                <wp:effectExtent l="0" t="0" r="0" b="0"/>
                <wp:wrapNone/>
                <wp:docPr id="3" name="Frame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Accounting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mitigate a decrease in the value of our assets and an impairment of goodwill or intangible assets;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use our net operating loss carryforwards and certain other tax attributes.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factors discussed in this report, although not listed here, also could materially affect our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3260"/>
                <wp:effectExtent l="0" t="0" r="0" b="0"/>
                <wp:wrapNone/>
                <wp:docPr id="4" name="Frame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Item 1.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INCOME (LOSS)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 except per share data)</w:t>
      </w:r>
    </w:p>
    <w:p>
      <w:pPr>
        <w:pStyle w:val="TextBody"/>
        <w:bidi w:val="0"/>
        <w:spacing w:lineRule="auto" w:line="288" w:before="120" w:after="283"/>
        <w:jc w:val="left"/>
        <w:rPr>
          <w:color w:val="000000"/>
        </w:rPr>
      </w:pPr>
      <w:r>
        <w:rPr>
          <w:color w:val="000000"/>
        </w:rPr>
        <w:t> </w:t>
      </w:r>
    </w:p>
    <w:tbl>
      <w:tblPr>
        <w:tblW w:w="9897" w:type="dxa"/>
        <w:jc w:val="left"/>
        <w:tblInd w:w="0" w:type="dxa"/>
        <w:tblLayout w:type="fixed"/>
        <w:tblCellMar>
          <w:top w:w="28" w:type="dxa"/>
          <w:left w:w="28" w:type="dxa"/>
          <w:bottom w:w="28" w:type="dxa"/>
          <w:right w:w="28" w:type="dxa"/>
        </w:tblCellMar>
      </w:tblPr>
      <w:tblGrid>
        <w:gridCol w:w="1707"/>
        <w:gridCol w:w="1500"/>
        <w:gridCol w:w="1518"/>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260"/>
                <wp:effectExtent l="0" t="0" r="0" b="0"/>
                <wp:wrapNone/>
                <wp:docPr id="5" name="Frame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COMPREHENSIVE INCOME (LOSS)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49"/>
        <w:gridCol w:w="1640"/>
        <w:gridCol w:w="1648"/>
        <w:gridCol w:w="109"/>
        <w:gridCol w:w="109"/>
        <w:gridCol w:w="109"/>
        <w:gridCol w:w="211"/>
        <w:gridCol w:w="556"/>
        <w:gridCol w:w="109"/>
        <w:gridCol w:w="109"/>
        <w:gridCol w:w="109"/>
        <w:gridCol w:w="109"/>
        <w:gridCol w:w="211"/>
        <w:gridCol w:w="556"/>
        <w:gridCol w:w="109"/>
        <w:gridCol w:w="109"/>
        <w:gridCol w:w="109"/>
        <w:gridCol w:w="109"/>
        <w:gridCol w:w="211"/>
        <w:gridCol w:w="661"/>
        <w:gridCol w:w="109"/>
        <w:gridCol w:w="109"/>
        <w:gridCol w:w="109"/>
        <w:gridCol w:w="109"/>
        <w:gridCol w:w="211"/>
        <w:gridCol w:w="556"/>
        <w:gridCol w:w="160"/>
      </w:tblGrid>
      <w:tr>
        <w:trPr/>
        <w:tc>
          <w:tcPr>
            <w:tcW w:w="194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adjustments, net of tax of $1.7 and $5.5 in 2026 and $(10.8) and $(15.7)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3260"/>
                <wp:effectExtent l="0" t="0" r="0" b="0"/>
                <wp:wrapNone/>
                <wp:docPr id="6" name="Frame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CONSOLIDATED BALANCE SHEETS (Unaudited)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tbl>
      <w:tblPr>
        <w:tblW w:w="10205" w:type="dxa"/>
        <w:jc w:val="center"/>
        <w:tblInd w:w="0" w:type="dxa"/>
        <w:tblLayout w:type="fixed"/>
        <w:tblCellMar>
          <w:top w:w="28" w:type="dxa"/>
          <w:left w:w="28" w:type="dxa"/>
          <w:bottom w:w="28" w:type="dxa"/>
          <w:right w:w="28" w:type="dxa"/>
        </w:tblCellMar>
      </w:tblPr>
      <w:tblGrid>
        <w:gridCol w:w="2541"/>
        <w:gridCol w:w="2211"/>
        <w:gridCol w:w="2225"/>
        <w:gridCol w:w="239"/>
        <w:gridCol w:w="867"/>
        <w:gridCol w:w="123"/>
        <w:gridCol w:w="109"/>
        <w:gridCol w:w="109"/>
        <w:gridCol w:w="109"/>
        <w:gridCol w:w="311"/>
        <w:gridCol w:w="1130"/>
        <w:gridCol w:w="231"/>
      </w:tblGrid>
      <w:tr>
        <w:trPr/>
        <w:tc>
          <w:tcPr>
            <w:tcW w:w="254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costs,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software,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pension and postretirement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deficit</w:t>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pension and postretirement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14)</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Deficit:</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Issued: June 30, 2026 - 80.2 shares and December 31, 2025 - 78.1 shares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shares at cost; June 30, 2026 - 7.3 shares and December 31, 2025 - 6.7 shares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Unisys Corporation stockholders' deficit</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deficit</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deficit</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90"/>
        <w:jc w:val="left"/>
        <w:rPr/>
      </w:pPr>
      <w:r>
        <w:rPr/>
      </w:r>
    </w:p>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3260"/>
                <wp:effectExtent l="0" t="0" r="0" b="0"/>
                <wp:wrapNone/>
                <wp:docPr id="7" name="Frame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CONSOLIDATED STATEMENTS OF CASH FLOWS (Unaudited)</w:t>
      </w:r>
    </w:p>
    <w:p>
      <w:pPr>
        <w:pStyle w:val="TextBody"/>
        <w:bidi w:val="0"/>
        <w:spacing w:lineRule="auto" w:line="288" w:before="60" w:after="283"/>
        <w:jc w:val="center"/>
        <w:rPr/>
      </w:pPr>
      <w:r>
        <w:rPr>
          <w:rFonts w:ascii="Times New Roman;serif" w:hAnsi="Times New Roman;serif"/>
          <w:b/>
          <w:color w:val="000000"/>
          <w:sz w:val="24"/>
        </w:rPr>
        <w:t>(Millions)</w:t>
      </w:r>
      <w:r>
        <w:rPr>
          <w:color w:val="000000"/>
        </w:rPr>
        <w:t> </w:t>
      </w:r>
    </w:p>
    <w:tbl>
      <w:tblPr>
        <w:tblW w:w="9844" w:type="dxa"/>
        <w:jc w:val="left"/>
        <w:tblInd w:w="0" w:type="dxa"/>
        <w:tblLayout w:type="fixed"/>
        <w:tblCellMar>
          <w:top w:w="28" w:type="dxa"/>
          <w:left w:w="28" w:type="dxa"/>
          <w:bottom w:w="28" w:type="dxa"/>
          <w:right w:w="28" w:type="dxa"/>
        </w:tblCellMar>
      </w:tblPr>
      <w:tblGrid>
        <w:gridCol w:w="2597"/>
        <w:gridCol w:w="2286"/>
        <w:gridCol w:w="2302"/>
        <w:gridCol w:w="109"/>
        <w:gridCol w:w="109"/>
        <w:gridCol w:w="109"/>
        <w:gridCol w:w="211"/>
        <w:gridCol w:w="691"/>
        <w:gridCol w:w="109"/>
        <w:gridCol w:w="109"/>
        <w:gridCol w:w="109"/>
        <w:gridCol w:w="109"/>
        <w:gridCol w:w="214"/>
        <w:gridCol w:w="62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consolidated net loss to net cash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capitalized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marketable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 and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marketable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additions of properties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relating to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83260"/>
                <wp:effectExtent l="0" t="0" r="0" b="0"/>
                <wp:wrapNone/>
                <wp:docPr id="8" name="Frame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EQUITY (DEFICIT)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tbl>
      <w:tblPr>
        <w:tblW w:w="11790" w:type="dxa"/>
        <w:jc w:val="center"/>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571"/>
        <w:gridCol w:w="109"/>
        <w:gridCol w:w="109"/>
        <w:gridCol w:w="109"/>
        <w:gridCol w:w="109"/>
        <w:gridCol w:w="211"/>
        <w:gridCol w:w="616"/>
        <w:gridCol w:w="119"/>
        <w:gridCol w:w="109"/>
        <w:gridCol w:w="109"/>
        <w:gridCol w:w="109"/>
        <w:gridCol w:w="220"/>
        <w:gridCol w:w="422"/>
        <w:gridCol w:w="124"/>
        <w:gridCol w:w="109"/>
        <w:gridCol w:w="109"/>
        <w:gridCol w:w="109"/>
        <w:gridCol w:w="209"/>
        <w:gridCol w:w="754"/>
        <w:gridCol w:w="118"/>
        <w:gridCol w:w="109"/>
        <w:gridCol w:w="109"/>
        <w:gridCol w:w="109"/>
        <w:gridCol w:w="196"/>
        <w:gridCol w:w="571"/>
        <w:gridCol w:w="109"/>
        <w:gridCol w:w="109"/>
        <w:gridCol w:w="109"/>
        <w:gridCol w:w="109"/>
        <w:gridCol w:w="196"/>
        <w:gridCol w:w="691"/>
        <w:gridCol w:w="109"/>
        <w:gridCol w:w="109"/>
        <w:gridCol w:w="109"/>
        <w:gridCol w:w="109"/>
        <w:gridCol w:w="241"/>
        <w:gridCol w:w="870"/>
        <w:gridCol w:w="135"/>
        <w:gridCol w:w="109"/>
        <w:gridCol w:w="109"/>
        <w:gridCol w:w="109"/>
        <w:gridCol w:w="306"/>
        <w:gridCol w:w="728"/>
        <w:gridCol w:w="242"/>
      </w:tblGrid>
      <w:tr>
        <w:trP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Unisys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Unisys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1790"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571"/>
        <w:gridCol w:w="109"/>
        <w:gridCol w:w="109"/>
        <w:gridCol w:w="109"/>
        <w:gridCol w:w="109"/>
        <w:gridCol w:w="211"/>
        <w:gridCol w:w="616"/>
        <w:gridCol w:w="119"/>
        <w:gridCol w:w="109"/>
        <w:gridCol w:w="109"/>
        <w:gridCol w:w="109"/>
        <w:gridCol w:w="220"/>
        <w:gridCol w:w="422"/>
        <w:gridCol w:w="124"/>
        <w:gridCol w:w="109"/>
        <w:gridCol w:w="109"/>
        <w:gridCol w:w="109"/>
        <w:gridCol w:w="209"/>
        <w:gridCol w:w="754"/>
        <w:gridCol w:w="118"/>
        <w:gridCol w:w="109"/>
        <w:gridCol w:w="109"/>
        <w:gridCol w:w="109"/>
        <w:gridCol w:w="196"/>
        <w:gridCol w:w="571"/>
        <w:gridCol w:w="109"/>
        <w:gridCol w:w="109"/>
        <w:gridCol w:w="109"/>
        <w:gridCol w:w="109"/>
        <w:gridCol w:w="196"/>
        <w:gridCol w:w="691"/>
        <w:gridCol w:w="109"/>
        <w:gridCol w:w="109"/>
        <w:gridCol w:w="109"/>
        <w:gridCol w:w="109"/>
        <w:gridCol w:w="241"/>
        <w:gridCol w:w="870"/>
        <w:gridCol w:w="135"/>
        <w:gridCol w:w="109"/>
        <w:gridCol w:w="109"/>
        <w:gridCol w:w="109"/>
        <w:gridCol w:w="306"/>
        <w:gridCol w:w="728"/>
        <w:gridCol w:w="242"/>
      </w:tblGrid>
      <w:tr>
        <w:trP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Unisys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Unisys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83260"/>
                <wp:effectExtent l="0" t="0" r="0" b="0"/>
                <wp:wrapNone/>
                <wp:docPr id="9" name="Frame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NOTES TO CONSOLIDATED FINANCIAL STATEMENTS (Unaudited)</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(Dollars in millions,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1 -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included in this Quarterly Report on Form 10-Q have been prepared pursuant to the rules and regulations of the U.S. Securities and Exchange Commission (SEC). These rules and regulations permit some of the information and footnote disclosures normally included in financial statements, prepared in accordance with generally accepted accounting principles in the United States of America (GAAP), to be condensed or omitted. In management’s opinion, the unaudited consolidated financial statements contain all adjustments that are of a normal recurring nature, necessary for a fair presentation of the results of operations and financial position of the company for the interim periods presented. These adjustments consist only of normal recurring accruals except as disclosed herein. Because of seasonal and other factors, results for interim periods are not necessarily indicative of the results to be expected for the full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unaudited consolidated financial statements should be read in conjunction with the audited consolidated financial statements for the fiscal year ended December 31, 2025 and the notes thereto included in the company’s Annual Report on Form 10-K, filed with the SEC.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capitalized contract costs assets, marketable software, goodwill, purchased intangibles and other long-lived assets, legal and environmental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Any changes in those estimates resulting from changes in the economic environment such as inflation, tariffs, trade policy, fluctuation in interest rates and foreign exchange rates and conflicts, wars and other events of geopolitical significance, will be reflected in the financial statements in future periods.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policies are set forth in detail in Note 1 of the Notes to Consolidated Financial Statements in the company’s Annual Report on Form 10-K for the year ended December 31, 2025 filed with the SEC. Such Annual Report also contains a discussion of the company’s critical accounting policies and estimates. The company believes that these critical accounting policies and estimates affect its more significant estimates and judgments used in the preparation of the company’s consolidated financial statements.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in the consolidated financial statements and accompanying notes have been reclassified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Note 2 - Accounting Standards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(ASU 2024-03) requiring additional disclosures about certain costs and expenses in the notes to the financial statements on an annual and interim basis. This update is effective for fiscal years beginning after December 15, 2026, and interim periods within fiscal years beginning after December 15, 2027, with early adoption permitted on either a prospective or retrospective basis. ASU 2024-03 is not expected to have a material effect on the company’s consolidated financial statements.</w:t>
      </w:r>
    </w:p>
    <w:p>
      <w:pPr>
        <w:pStyle w:val="TextBody"/>
        <w:bidi w:val="0"/>
        <w:spacing w:lineRule="auto" w:line="288" w:before="120" w:after="283"/>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(ASU 2025-06), which simplifies the capitalization guidance for internal-use software costs by removing all references to software development project stages. ASU 2025-06 is effective for annual periods beginning after December 15, 2027, and interim periods within those annual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83260"/>
                <wp:effectExtent l="0" t="0" r="0" b="0"/>
                <wp:wrapNone/>
                <wp:docPr id="10" name="Frame1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periods, with early adoption permitted on either a prospective, retrospective or a modified transition approach. The company is currently evaluating the impact of the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3 - Cost-Reduction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from time to time initiates cost reduction actions designed to improve operating efficiency, reduce costs and align the company’s workforce and facility structures to its overall business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Cost-reduction charges (credits) and other costs recognized were as follows:</w:t>
      </w:r>
    </w:p>
    <w:tbl>
      <w:tblPr>
        <w:tblW w:w="8549" w:type="dxa"/>
        <w:jc w:val="left"/>
        <w:tblInd w:w="0" w:type="dxa"/>
        <w:tblLayout w:type="fixed"/>
        <w:tblCellMar>
          <w:top w:w="28" w:type="dxa"/>
          <w:left w:w="28" w:type="dxa"/>
          <w:bottom w:w="28" w:type="dxa"/>
          <w:right w:w="28" w:type="dxa"/>
        </w:tblCellMar>
      </w:tblPr>
      <w:tblGrid>
        <w:gridCol w:w="1276"/>
        <w:gridCol w:w="1123"/>
        <w:gridCol w:w="1126"/>
        <w:gridCol w:w="109"/>
        <w:gridCol w:w="109"/>
        <w:gridCol w:w="109"/>
        <w:gridCol w:w="266"/>
        <w:gridCol w:w="513"/>
        <w:gridCol w:w="137"/>
        <w:gridCol w:w="137"/>
        <w:gridCol w:w="137"/>
        <w:gridCol w:w="137"/>
        <w:gridCol w:w="266"/>
        <w:gridCol w:w="513"/>
        <w:gridCol w:w="137"/>
        <w:gridCol w:w="109"/>
        <w:gridCol w:w="109"/>
        <w:gridCol w:w="109"/>
        <w:gridCol w:w="246"/>
        <w:gridCol w:w="474"/>
        <w:gridCol w:w="127"/>
        <w:gridCol w:w="127"/>
        <w:gridCol w:w="127"/>
        <w:gridCol w:w="127"/>
        <w:gridCol w:w="246"/>
        <w:gridCol w:w="474"/>
        <w:gridCol w:w="179"/>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employee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workforce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abandonment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 impairment charges and write-offs </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3"/>
        </w:rPr>
        <w:t>(i)</w:t>
      </w:r>
      <w:r>
        <w:rPr>
          <w:color w:val="000000"/>
        </w:rPr>
        <w:t xml:space="preserve"> </w:t>
      </w:r>
      <w:r>
        <w:rPr>
          <w:rFonts w:ascii="Times New Roman;serif" w:hAnsi="Times New Roman;serif"/>
          <w:b w:val="false"/>
          <w:color w:val="000000"/>
          <w:sz w:val="20"/>
        </w:rPr>
        <w:t>Asset impairment charges and write-offs relate to assets associated with exited operations and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were recorded in the following statement of income (loss) classifications:</w:t>
      </w:r>
    </w:p>
    <w:tbl>
      <w:tblPr>
        <w:tblW w:w="7978"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66"/>
        <w:gridCol w:w="513"/>
        <w:gridCol w:w="137"/>
        <w:gridCol w:w="137"/>
        <w:gridCol w:w="137"/>
        <w:gridCol w:w="137"/>
        <w:gridCol w:w="266"/>
        <w:gridCol w:w="513"/>
        <w:gridCol w:w="137"/>
        <w:gridCol w:w="109"/>
        <w:gridCol w:w="109"/>
        <w:gridCol w:w="109"/>
        <w:gridCol w:w="246"/>
        <w:gridCol w:w="474"/>
        <w:gridCol w:w="127"/>
        <w:gridCol w:w="127"/>
        <w:gridCol w:w="127"/>
        <w:gridCol w:w="127"/>
        <w:gridCol w:w="246"/>
        <w:gridCol w:w="474"/>
        <w:gridCol w:w="179"/>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expected future payments related to the company’s workforce reduction actions are as follows:</w:t>
      </w:r>
    </w:p>
    <w:tbl>
      <w:tblPr>
        <w:tblW w:w="5882" w:type="dxa"/>
        <w:jc w:val="left"/>
        <w:tblInd w:w="0" w:type="dxa"/>
        <w:tblLayout w:type="fixed"/>
        <w:tblCellMar>
          <w:top w:w="28" w:type="dxa"/>
          <w:left w:w="28" w:type="dxa"/>
          <w:bottom w:w="28" w:type="dxa"/>
          <w:right w:w="28" w:type="dxa"/>
        </w:tblCellMar>
      </w:tblPr>
      <w:tblGrid>
        <w:gridCol w:w="1694"/>
        <w:gridCol w:w="1488"/>
        <w:gridCol w:w="1497"/>
        <w:gridCol w:w="109"/>
        <w:gridCol w:w="109"/>
        <w:gridCol w:w="109"/>
        <w:gridCol w:w="211"/>
        <w:gridCol w:w="511"/>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future utilization on 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83260"/>
                <wp:effectExtent l="0" t="0" r="0" b="0"/>
                <wp:wrapNone/>
                <wp:docPr id="11" name="Frame1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4 - Pension and Postretirement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expense is presented below:</w:t>
      </w:r>
    </w:p>
    <w:tbl>
      <w:tblPr>
        <w:tblW w:w="10205" w:type="dxa"/>
        <w:jc w:val="left"/>
        <w:tblInd w:w="0" w:type="dxa"/>
        <w:tblLayout w:type="fixed"/>
        <w:tblCellMar>
          <w:top w:w="28" w:type="dxa"/>
          <w:left w:w="28" w:type="dxa"/>
          <w:bottom w:w="28" w:type="dxa"/>
          <w:right w:w="28" w:type="dxa"/>
        </w:tblCellMar>
      </w:tblPr>
      <w:tblGrid>
        <w:gridCol w:w="1076"/>
        <w:gridCol w:w="903"/>
        <w:gridCol w:w="911"/>
        <w:gridCol w:w="109"/>
        <w:gridCol w:w="109"/>
        <w:gridCol w:w="109"/>
        <w:gridCol w:w="211"/>
        <w:gridCol w:w="511"/>
        <w:gridCol w:w="109"/>
        <w:gridCol w:w="109"/>
        <w:gridCol w:w="109"/>
        <w:gridCol w:w="109"/>
        <w:gridCol w:w="211"/>
        <w:gridCol w:w="511"/>
        <w:gridCol w:w="109"/>
        <w:gridCol w:w="109"/>
        <w:gridCol w:w="109"/>
        <w:gridCol w:w="109"/>
        <w:gridCol w:w="288"/>
        <w:gridCol w:w="554"/>
        <w:gridCol w:w="149"/>
        <w:gridCol w:w="109"/>
        <w:gridCol w:w="109"/>
        <w:gridCol w:w="109"/>
        <w:gridCol w:w="211"/>
        <w:gridCol w:w="511"/>
        <w:gridCol w:w="109"/>
        <w:gridCol w:w="109"/>
        <w:gridCol w:w="109"/>
        <w:gridCol w:w="109"/>
        <w:gridCol w:w="211"/>
        <w:gridCol w:w="511"/>
        <w:gridCol w:w="109"/>
        <w:gridCol w:w="109"/>
        <w:gridCol w:w="109"/>
        <w:gridCol w:w="109"/>
        <w:gridCol w:w="283"/>
        <w:gridCol w:w="545"/>
        <w:gridCol w:w="210"/>
      </w:tblGrid>
      <w:tr>
        <w:trPr/>
        <w:tc>
          <w:tcPr>
            <w:tcW w:w="107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2025</w:t>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6"/>
        <w:gridCol w:w="903"/>
        <w:gridCol w:w="911"/>
        <w:gridCol w:w="109"/>
        <w:gridCol w:w="109"/>
        <w:gridCol w:w="109"/>
        <w:gridCol w:w="211"/>
        <w:gridCol w:w="511"/>
        <w:gridCol w:w="109"/>
        <w:gridCol w:w="109"/>
        <w:gridCol w:w="109"/>
        <w:gridCol w:w="109"/>
        <w:gridCol w:w="211"/>
        <w:gridCol w:w="511"/>
        <w:gridCol w:w="109"/>
        <w:gridCol w:w="109"/>
        <w:gridCol w:w="109"/>
        <w:gridCol w:w="109"/>
        <w:gridCol w:w="251"/>
        <w:gridCol w:w="609"/>
        <w:gridCol w:w="131"/>
        <w:gridCol w:w="109"/>
        <w:gridCol w:w="109"/>
        <w:gridCol w:w="109"/>
        <w:gridCol w:w="211"/>
        <w:gridCol w:w="511"/>
        <w:gridCol w:w="109"/>
        <w:gridCol w:w="109"/>
        <w:gridCol w:w="109"/>
        <w:gridCol w:w="109"/>
        <w:gridCol w:w="211"/>
        <w:gridCol w:w="511"/>
        <w:gridCol w:w="109"/>
        <w:gridCol w:w="109"/>
        <w:gridCol w:w="109"/>
        <w:gridCol w:w="109"/>
        <w:gridCol w:w="283"/>
        <w:gridCol w:w="545"/>
        <w:gridCol w:w="210"/>
      </w:tblGrid>
      <w:tr>
        <w:trPr/>
        <w:tc>
          <w:tcPr>
            <w:tcW w:w="107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2025</w:t>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pension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Service cost is reported in selling, general and administrative expense. All other components of net periodic pension expense are reported in other (expense), net in the consolidated statements of income (loss).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made cash contributions of $57.4 million to its global defined benefit pension plans. For the remainder of 2026, the company expects to make cash contributions of approximately $40 million, resulting in total expected cash contributions for 2026 of approximately $97 million to the company’s global defined benefit pension plans. These contributions are expected to include approximately $47 million to the company’s U.S. qualified defined benefit pension plans and approximately $50 million, primarily to the company’s international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made cash contributions of $287.2 million to its global defined benefit pension plans, including a discretionary contribution of $250 million to its U.S. defined benefit pension plans. In 2025, the company made cash contributions of $343.7 million to its global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end of each year, the company estimates its future cash contributions to its global defined benefit pension plans based on year-end pension data, assumptions and agreements. Any material deterioration in the value of the company’s global defined benefit pension plan assets, as well as changes in pension legislation, volatility in the capital markets, discount rate changes, asset return changes, or changes in economic or demographic trends, could require the company to make cash contributions in different amounts and on a different schedule than previously estimated.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periodic postretirement benefit expense (income) is presented below:</w:t>
      </w:r>
    </w:p>
    <w:tbl>
      <w:tblPr>
        <w:tblW w:w="8716" w:type="dxa"/>
        <w:jc w:val="left"/>
        <w:tblInd w:w="0" w:type="dxa"/>
        <w:tblLayout w:type="fixed"/>
        <w:tblCellMar>
          <w:top w:w="28" w:type="dxa"/>
          <w:left w:w="28" w:type="dxa"/>
          <w:bottom w:w="28" w:type="dxa"/>
          <w:right w:w="28" w:type="dxa"/>
        </w:tblCellMar>
      </w:tblPr>
      <w:tblGrid>
        <w:gridCol w:w="1602"/>
        <w:gridCol w:w="1405"/>
        <w:gridCol w:w="1418"/>
        <w:gridCol w:w="109"/>
        <w:gridCol w:w="109"/>
        <w:gridCol w:w="109"/>
        <w:gridCol w:w="215"/>
        <w:gridCol w:w="414"/>
        <w:gridCol w:w="111"/>
        <w:gridCol w:w="111"/>
        <w:gridCol w:w="111"/>
        <w:gridCol w:w="111"/>
        <w:gridCol w:w="215"/>
        <w:gridCol w:w="414"/>
        <w:gridCol w:w="111"/>
        <w:gridCol w:w="109"/>
        <w:gridCol w:w="109"/>
        <w:gridCol w:w="109"/>
        <w:gridCol w:w="211"/>
        <w:gridCol w:w="406"/>
        <w:gridCol w:w="109"/>
        <w:gridCol w:w="109"/>
        <w:gridCol w:w="109"/>
        <w:gridCol w:w="109"/>
        <w:gridCol w:w="211"/>
        <w:gridCol w:w="406"/>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postretirement benefit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Service cost is reported in selling, general and administrative expense. All other components of net periodic postretirement benefit expense (income) are reported in other (expense), net in the consolidated statements of income (loss).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83260"/>
                <wp:effectExtent l="0" t="0" r="0" b="0"/>
                <wp:wrapNone/>
                <wp:docPr id="12" name="Frame1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to make cash contributions of $3 million to its postretirement benefit plan in 2026. In 2025, the company made cash contributions of $1.6 million to its postretirement benefit plan. For the six months ended June 30, 2026 and 2025, the company made cash contributions of $0.7 million and $0.4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5 - 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stockholder approved stock-based plans, stock options, stock appreciation rights, restricted stock and restricted stock units (RSUs) may be granted to officers, directors and other key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granted restricted stock and RSUs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the company recorded $7.2 million and $9.7 million of share-based restricted stock and RSU compensation expense,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RSU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market-related awards is recognized as expense ratably over the measurement period, regardless of the actual level of achievement, provided the service requirement is met. RSU grants for the company’s directors vest upon award and compensation expense for such awards is recognized upon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and RSU activity for the six months ended June 30, 2026 follows (shares in thousands):</w:t>
      </w:r>
    </w:p>
    <w:tbl>
      <w:tblPr>
        <w:tblW w:w="5516"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344"/>
        <w:gridCol w:w="346"/>
        <w:gridCol w:w="286"/>
        <w:gridCol w:w="109"/>
        <w:gridCol w:w="109"/>
        <w:gridCol w:w="109"/>
        <w:gridCol w:w="227"/>
        <w:gridCol w:w="551"/>
        <w:gridCol w:w="16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Restricted </w:t>
              <w:br/>
              <w:t>Stock</w:t>
              <w:br/>
              <w:t> and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w:t>
              <w:br/>
              <w:t>Average</w:t>
              <w:br/>
              <w:t>Grant-Date</w:t>
              <w:b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Granted </w:t>
            </w:r>
            <w:r>
              <w:rPr>
                <w:rFonts w:ascii="Times New Roman;serif" w:hAnsi="Times New Roman;serif"/>
                <w:b w:val="false"/>
                <w:color w:val="000000"/>
                <w:sz w:val="13"/>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Awards granted during the six months ended June 30, 2026 were time-based conditions awards.</w:t>
      </w:r>
    </w:p>
    <w:p>
      <w:pPr>
        <w:pStyle w:val="TextBody"/>
        <w:bidi w:val="0"/>
        <w:spacing w:lineRule="auto" w:line="288" w:before="140" w:after="283"/>
        <w:jc w:val="left"/>
        <w:rPr/>
      </w:pPr>
      <w:r>
        <w:rPr>
          <w:rFonts w:ascii="Times New Roman;serif" w:hAnsi="Times New Roman;serif"/>
          <w:b w:val="false"/>
          <w:color w:val="000000"/>
          <w:sz w:val="12"/>
        </w:rPr>
        <w:t>(ii)</w:t>
      </w:r>
      <w:r>
        <w:rPr>
          <w:color w:val="000000"/>
        </w:rPr>
        <w:t xml:space="preserve"> </w:t>
      </w:r>
      <w:r>
        <w:rPr>
          <w:rFonts w:ascii="Times New Roman;serif" w:hAnsi="Times New Roman;serif"/>
          <w:b w:val="false"/>
          <w:color w:val="000000"/>
          <w:sz w:val="18"/>
        </w:rPr>
        <w:t>Vested awards include 2023 and 2024 performance-based RSUs awards vested at zero percent payout.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weighted-average grant-date fair value of restricted stock and RSUs granted during the six months ended June 30, 2026 and 2025 was $12.8 million and $15.9 million, respectively. The fair value of awards with time and performance conditions is determined based on the trading price of the company’s common shares on the date of grant. The fair value of awards with market conditions is estimated using a Monte Carlo simulation.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$20.8 million of total unrecognized compensation cost related to outstanding restricted stock and RSUs granted under the company’s plans. That cost is expected to be recognized over a weighted-average period of 2.1 years. The aggregate weighted-average grant-date fair value of restricted stock and RSUs vested during the six months ended June 30, 2026 and 2025 was $9.0 million and $15.3 million,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issued upon the lapse of restrictions on restricted stock and RSUs are newly issued shares. In light of its tax position, the company is currently not recognizing any tax benefits from the issuance of stock upon lapse of restrictions on restricted stock and RSUs.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83260"/>
                <wp:effectExtent l="0" t="0" r="0" b="0"/>
                <wp:wrapNone/>
                <wp:docPr id="13" name="Frame1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6 - Other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is comprised of the following:</w:t>
      </w:r>
    </w:p>
    <w:tbl>
      <w:tblPr>
        <w:tblW w:w="8006"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(losses) gains</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Foreign exchange (losses) gains include gains (losses) from remeasuring cash, receivables, payables and intercompany balances denominated in foreign currencies, as well as gains (losses) related to the substantial completion of liquidation of certain foreign subsidiaries of $0.2 million and $1.6 million in the three months ended June 30, 2026 and 2025, respectively, and $(0.1) million and $2.7 million in the six months ended June 30, 2026 and 2025, respectively. In the third quarter of 2025, the company ceased the use of foreign currency forward contracts used to mitigate the impact of exchange rate fluctuations in the intercompany balances denominated in foreign currencies. The gains (losses) on such forward contracts for the three and six months ended June 30, 2025 were included within foreign exchange (losses) gains. See Note 10 for details on the company’s foreign exchange forward contracts.</w:t>
      </w:r>
    </w:p>
    <w:p>
      <w:pPr>
        <w:pStyle w:val="TextBody"/>
        <w:bidi w:val="0"/>
        <w:spacing w:lineRule="auto" w:line="288" w:before="100" w:after="283"/>
        <w:jc w:val="left"/>
        <w:rPr/>
      </w:pPr>
      <w:r>
        <w:rPr>
          <w:rFonts w:ascii="Times New Roman;serif" w:hAnsi="Times New Roman;serif"/>
          <w:b w:val="false"/>
          <w:color w:val="000000"/>
          <w:sz w:val="12"/>
        </w:rPr>
        <w:t xml:space="preserve">(ii) </w:t>
      </w:r>
      <w:r>
        <w:rPr>
          <w:rFonts w:ascii="Times New Roman;serif" w:hAnsi="Times New Roman;serif"/>
          <w:b w:val="false"/>
          <w:color w:val="000000"/>
          <w:sz w:val="18"/>
        </w:rPr>
        <w:t>Interest income relates primarily to interest earned from cash and short-term investments.</w:t>
      </w:r>
    </w:p>
    <w:p>
      <w:pPr>
        <w:pStyle w:val="TextBody"/>
        <w:bidi w:val="0"/>
        <w:spacing w:lineRule="auto" w:line="288" w:before="100" w:after="283"/>
        <w:jc w:val="left"/>
        <w:rPr/>
      </w:pPr>
      <w:r>
        <w:rPr>
          <w:rFonts w:ascii="Times New Roman;serif" w:hAnsi="Times New Roman;serif"/>
          <w:b w:val="false"/>
          <w:color w:val="000000"/>
          <w:sz w:val="12"/>
        </w:rPr>
        <w:t xml:space="preserve">(iii) </w:t>
      </w:r>
      <w:r>
        <w:rPr>
          <w:rFonts w:ascii="Times New Roman;serif" w:hAnsi="Times New Roman;serif"/>
          <w:b w:val="false"/>
          <w:color w:val="000000"/>
          <w:sz w:val="18"/>
        </w:rPr>
        <w:t>Other, net generally consists of environmental costs related to previously disposed businesses and other miscellaneous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7 -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provision for income taxes was $15.8 million and $29.5 million, respectively, primarily driven by the geographic distribution of income. For the three and six months ended June 30, 2026, the effective tax rate was (19.8)% and (28.7)%, respectively, primarily driven by U.S. operating losses with no tax benefit as the deferred tax assets are subject to a full valuation allowance, non-creditable withholding taxes in the U.S., and jurisdictions with no valuation allowance that are subject to tax.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provision for income taxes was $20.0 million and $30.6 million, respectively, primarily driven by the geographic distribution of income. For the three months ended June 30, 2025, the effective tax rate is not a meaningful measure due to the lack of pre-tax income or loss. For the six months ended June 30, 2025, the effective tax rate was (153.0)%, primarily driven by non-creditable withholding taxes in the U.S., jurisdictions with no valuation allowance that are subject to tax, and U.S. operating losses with no tax benefit as the deferred tax assets are subject to a full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83260"/>
                <wp:effectExtent l="0" t="0" r="0" b="0"/>
                <wp:wrapNone/>
                <wp:docPr id="14" name="Frame1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8 -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calculations for the company’s earnings (loss) per common share attributable to Unisys Corporation (shares in thousands):</w:t>
      </w:r>
    </w:p>
    <w:tbl>
      <w:tblPr>
        <w:tblW w:w="10205" w:type="dxa"/>
        <w:jc w:val="left"/>
        <w:tblInd w:w="0" w:type="dxa"/>
        <w:tblLayout w:type="fixed"/>
        <w:tblCellMar>
          <w:top w:w="28" w:type="dxa"/>
          <w:left w:w="28" w:type="dxa"/>
          <w:bottom w:w="28" w:type="dxa"/>
          <w:right w:w="28" w:type="dxa"/>
        </w:tblCellMar>
      </w:tblPr>
      <w:tblGrid>
        <w:gridCol w:w="1870"/>
        <w:gridCol w:w="1639"/>
        <w:gridCol w:w="1647"/>
        <w:gridCol w:w="109"/>
        <w:gridCol w:w="109"/>
        <w:gridCol w:w="109"/>
        <w:gridCol w:w="211"/>
        <w:gridCol w:w="577"/>
        <w:gridCol w:w="109"/>
        <w:gridCol w:w="109"/>
        <w:gridCol w:w="109"/>
        <w:gridCol w:w="109"/>
        <w:gridCol w:w="211"/>
        <w:gridCol w:w="577"/>
        <w:gridCol w:w="109"/>
        <w:gridCol w:w="109"/>
        <w:gridCol w:w="109"/>
        <w:gridCol w:w="109"/>
        <w:gridCol w:w="211"/>
        <w:gridCol w:w="682"/>
        <w:gridCol w:w="109"/>
        <w:gridCol w:w="109"/>
        <w:gridCol w:w="109"/>
        <w:gridCol w:w="109"/>
        <w:gridCol w:w="211"/>
        <w:gridCol w:w="577"/>
        <w:gridCol w:w="157"/>
      </w:tblGrid>
      <w:tr>
        <w:trPr/>
        <w:tc>
          <w:tcPr>
            <w:tcW w:w="187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per common share computation: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common share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 assumed vesting of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Anti-dilutive restricted stock units</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0"/>
        <w:gridCol w:w="2866"/>
        <w:gridCol w:w="4079"/>
      </w:tblGrid>
      <w:tr>
        <w:trPr/>
        <w:tc>
          <w:tcPr>
            <w:tcW w:w="3260"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60" w:after="4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Amounts represent shares excluded from the computation of diluted loss per share, as their effect, if included, would have been anti-dilutive for the periods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9 -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disaggregated by type of revenue: </w:t>
      </w:r>
    </w:p>
    <w:tbl>
      <w:tblPr>
        <w:tblW w:w="6014" w:type="dxa"/>
        <w:jc w:val="left"/>
        <w:tblInd w:w="0" w:type="dxa"/>
        <w:tblLayout w:type="fixed"/>
        <w:tblCellMar>
          <w:top w:w="28" w:type="dxa"/>
          <w:left w:w="28" w:type="dxa"/>
          <w:bottom w:w="28" w:type="dxa"/>
          <w:right w:w="28" w:type="dxa"/>
        </w:tblCellMar>
      </w:tblPr>
      <w:tblGrid>
        <w:gridCol w:w="450"/>
        <w:gridCol w:w="395"/>
        <w:gridCol w:w="39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w:t>
            </w:r>
            <w:r>
              <w:rPr>
                <w:rFonts w:ascii="Times New Roman;serif" w:hAnsi="Times New Roman;serif"/>
                <w:b w:val="false"/>
                <w:color w:val="000000"/>
                <w:sz w:val="13"/>
              </w:rPr>
              <w:t>(i)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Technology represents hardware and software license revenue.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Contract Assets and Deferred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represent rights to consideration in exchange for goods or services transferred to a customer when that right is conditional on something other than the passage of time. Deferred revenue represents contract liabilities.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 (liabilities) are as follows:</w:t>
      </w:r>
    </w:p>
    <w:tbl>
      <w:tblPr>
        <w:tblW w:w="5741" w:type="dxa"/>
        <w:jc w:val="left"/>
        <w:tblInd w:w="0" w:type="dxa"/>
        <w:tblLayout w:type="fixed"/>
        <w:tblCellMar>
          <w:top w:w="28" w:type="dxa"/>
          <w:left w:w="28" w:type="dxa"/>
          <w:bottom w:w="28" w:type="dxa"/>
          <w:right w:w="28" w:type="dxa"/>
        </w:tblCellMar>
      </w:tblPr>
      <w:tblGrid>
        <w:gridCol w:w="885"/>
        <w:gridCol w:w="778"/>
        <w:gridCol w:w="782"/>
        <w:gridCol w:w="316"/>
        <w:gridCol w:w="766"/>
        <w:gridCol w:w="163"/>
        <w:gridCol w:w="109"/>
        <w:gridCol w:w="109"/>
        <w:gridCol w:w="109"/>
        <w:gridCol w:w="414"/>
        <w:gridCol w:w="1005"/>
        <w:gridCol w:w="30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assets - long-term</w:t>
            </w:r>
            <w:r>
              <w:rPr>
                <w:rFonts w:ascii="Times New Roman;serif" w:hAnsi="Times New Roman;serif"/>
                <w:b w:val="false"/>
                <w:color w:val="000000"/>
                <w:sz w:val="13"/>
              </w:rPr>
              <w:t>(i)</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73" w:type="dxa"/>
        <w:jc w:val="left"/>
        <w:tblInd w:w="0" w:type="dxa"/>
        <w:tblLayout w:type="fixed"/>
        <w:tblCellMar>
          <w:top w:w="28" w:type="dxa"/>
          <w:left w:w="28" w:type="dxa"/>
          <w:bottom w:w="28" w:type="dxa"/>
          <w:right w:w="28" w:type="dxa"/>
        </w:tblCellMar>
      </w:tblPr>
      <w:tblGrid>
        <w:gridCol w:w="550"/>
        <w:gridCol w:w="484"/>
        <w:gridCol w:w="484"/>
        <w:gridCol w:w="484"/>
        <w:gridCol w:w="484"/>
        <w:gridCol w:w="484"/>
        <w:gridCol w:w="484"/>
        <w:gridCol w:w="484"/>
        <w:gridCol w:w="484"/>
        <w:gridCol w:w="484"/>
        <w:gridCol w:w="484"/>
        <w:gridCol w:w="683"/>
      </w:tblGrid>
      <w:tr>
        <w:trPr/>
        <w:tc>
          <w:tcPr>
            <w:tcW w:w="5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6073" w:type="dxa"/>
            <w:gridSpan w:val="12"/>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Reported in other long-term assets on the company’s consolidated balance sheets.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83260"/>
                <wp:effectExtent l="0" t="0" r="0" b="0"/>
                <wp:wrapNone/>
                <wp:docPr id="15" name="Frame1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changes in the above contract liability balances were as follows: </w:t>
      </w:r>
    </w:p>
    <w:tbl>
      <w:tblPr>
        <w:tblW w:w="10205" w:type="dxa"/>
        <w:jc w:val="left"/>
        <w:tblInd w:w="0" w:type="dxa"/>
        <w:tblLayout w:type="fixed"/>
        <w:tblCellMar>
          <w:top w:w="28" w:type="dxa"/>
          <w:left w:w="28" w:type="dxa"/>
          <w:bottom w:w="28" w:type="dxa"/>
          <w:right w:w="28" w:type="dxa"/>
        </w:tblCellMar>
      </w:tblPr>
      <w:tblGrid>
        <w:gridCol w:w="2045"/>
        <w:gridCol w:w="1796"/>
        <w:gridCol w:w="1802"/>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6"/>
      </w:tblGrid>
      <w:tr>
        <w:trPr/>
        <w:tc>
          <w:tcPr>
            <w:tcW w:w="204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deferred revenue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Capitalized Contract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capitalized contract costs, net include the following: </w:t>
      </w:r>
    </w:p>
    <w:p>
      <w:pPr>
        <w:pStyle w:val="TextBody"/>
        <w:bidi w:val="0"/>
        <w:spacing w:before="120" w:after="283"/>
        <w:jc w:val="left"/>
        <w:rPr/>
      </w:pPr>
      <w:r>
        <w:rPr/>
      </w:r>
    </w:p>
    <w:tbl>
      <w:tblPr>
        <w:tblW w:w="6296" w:type="dxa"/>
        <w:jc w:val="left"/>
        <w:tblInd w:w="0" w:type="dxa"/>
        <w:tblLayout w:type="fixed"/>
        <w:tblCellMar>
          <w:top w:w="28" w:type="dxa"/>
          <w:left w:w="28" w:type="dxa"/>
          <w:bottom w:w="28" w:type="dxa"/>
          <w:right w:w="28" w:type="dxa"/>
        </w:tblCellMar>
      </w:tblPr>
      <w:tblGrid>
        <w:gridCol w:w="1086"/>
        <w:gridCol w:w="955"/>
        <w:gridCol w:w="959"/>
        <w:gridCol w:w="316"/>
        <w:gridCol w:w="766"/>
        <w:gridCol w:w="163"/>
        <w:gridCol w:w="109"/>
        <w:gridCol w:w="109"/>
        <w:gridCol w:w="109"/>
        <w:gridCol w:w="414"/>
        <w:gridCol w:w="1005"/>
        <w:gridCol w:w="30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commissions, net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Costs to fulfill a contract, net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capitalized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capitalized contract costs, net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amortization expense related to capitalized contract costs, net was $7.7 million and $4.5 million, respectively. For the six months ended June 30, 2026 and 2025, amortization expense related to capitalized contract costs assets, net was $13.5 million and $7.5 million, respectively.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transaction price of firm orders for which work has not been performed and excludes (i) contracts with an original expected length of one year or less and (ii) contracts for which the company recognizes revenue at the amount to which it has the right to invoice for services performed. At June 30, 2026, the company had approximately $0.8 billion of remaining performance obligations of which approximately 23% is estimated to be recognized as revenue by the end of 2026, 37% by the end of 2027, 22% by the end of 2028, 11% by the end of 2029 and 7%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10 - Financial Instruments and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Due to its foreign operations, the company is exposed to the effects of foreign currency exchange rate fluctuations on the U.S. dollar, principally related to intercompany account balances. In the third quarter of 2025, the company ceased its use of foreign currency forward contracts, as such these contracts have no remaining notional amounts since December 31, 2025. For the three and six months ended June 30, 2025, gains recognized on foreign currency exchange forward contracts were $38.0 million and $53.9 million, respectively, and included within other (expense), net in the consolidated statements of income (loss). These contracts were not designated as hedging instruments and the fair value was based on quoted prices for similar but not identical financial instruments; as such, the inputs were considered Level 2 inputs.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with carrying values approximating fair value include cash and cash equivalents and accounts receivable. Financial liabilities with carrying values approximating fair value include accounts payable and other liabilities. The carrying amounts of these financial assets and liabilities approximate fair value due to their short maturities. Such financial instruments are not included in the following table that provides information about the estimated fair values of other financial instruments that are not measured at fair value in the consolidated balance sheets as of June 30, 2026 and December 31, 2025.</w:t>
      </w:r>
    </w:p>
    <w:tbl>
      <w:tblPr>
        <w:tblW w:w="10205" w:type="dxa"/>
        <w:jc w:val="left"/>
        <w:tblInd w:w="0" w:type="dxa"/>
        <w:tblLayout w:type="fixed"/>
        <w:tblCellMar>
          <w:top w:w="28" w:type="dxa"/>
          <w:left w:w="28" w:type="dxa"/>
          <w:bottom w:w="28" w:type="dxa"/>
          <w:right w:w="28" w:type="dxa"/>
        </w:tblCellMar>
      </w:tblPr>
      <w:tblGrid>
        <w:gridCol w:w="1538"/>
        <w:gridCol w:w="1355"/>
        <w:gridCol w:w="1358"/>
        <w:gridCol w:w="342"/>
        <w:gridCol w:w="999"/>
        <w:gridCol w:w="176"/>
        <w:gridCol w:w="109"/>
        <w:gridCol w:w="109"/>
        <w:gridCol w:w="109"/>
        <w:gridCol w:w="212"/>
        <w:gridCol w:w="621"/>
        <w:gridCol w:w="109"/>
        <w:gridCol w:w="109"/>
        <w:gridCol w:w="109"/>
        <w:gridCol w:w="109"/>
        <w:gridCol w:w="342"/>
        <w:gridCol w:w="999"/>
        <w:gridCol w:w="176"/>
        <w:gridCol w:w="109"/>
        <w:gridCol w:w="109"/>
        <w:gridCol w:w="109"/>
        <w:gridCol w:w="212"/>
        <w:gridCol w:w="621"/>
        <w:gridCol w:w="164"/>
      </w:tblGrid>
      <w:tr>
        <w:trPr/>
        <w:tc>
          <w:tcPr>
            <w:tcW w:w="153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10.625% senior secured notes due January 15, 2031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is carried at amortized cost and its estimated fair value is based on market prices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83260"/>
                <wp:effectExtent l="0" t="0" r="0" b="0"/>
                <wp:wrapNone/>
                <wp:docPr id="16" name="Frame1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Note 11 - Properties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properties, net were as follows:</w:t>
      </w:r>
    </w:p>
    <w:tbl>
      <w:tblPr>
        <w:tblW w:w="7822" w:type="dxa"/>
        <w:jc w:val="left"/>
        <w:tblInd w:w="0" w:type="dxa"/>
        <w:tblLayout w:type="fixed"/>
        <w:tblCellMar>
          <w:top w:w="28" w:type="dxa"/>
          <w:left w:w="28" w:type="dxa"/>
          <w:bottom w:w="28" w:type="dxa"/>
          <w:right w:w="28" w:type="dxa"/>
        </w:tblCellMar>
      </w:tblPr>
      <w:tblGrid>
        <w:gridCol w:w="1519"/>
        <w:gridCol w:w="1332"/>
        <w:gridCol w:w="1348"/>
        <w:gridCol w:w="109"/>
        <w:gridCol w:w="109"/>
        <w:gridCol w:w="109"/>
        <w:gridCol w:w="280"/>
        <w:gridCol w:w="820"/>
        <w:gridCol w:w="145"/>
        <w:gridCol w:w="109"/>
        <w:gridCol w:w="109"/>
        <w:gridCol w:w="109"/>
        <w:gridCol w:w="371"/>
        <w:gridCol w:w="1083"/>
        <w:gridCol w:w="270"/>
      </w:tblGrid>
      <w:tr>
        <w:trPr/>
        <w:tc>
          <w:tcPr>
            <w:tcW w:w="151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properties,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12 - Goodwill and Intangible Assets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net carrying value of goodwill by reporting unit was as follows:</w:t>
      </w:r>
    </w:p>
    <w:tbl>
      <w:tblPr>
        <w:tblW w:w="7594"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is presented net of accumulated impairment losses of $141.3 million and $94.1 million as of June 30, 2026 and December 31, 2025, respectively, attributable to the DWS reporting unit. For the three and six months ended June 30, 2026, the company recognized an impairment loss of $47.2 million on goodwill associated with the DWS reporting unit. The impairment charge was recorded within goodwill and intangible asset impairment in the consolidated statements of income (loss)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as well as whenever there are events or changes in circumstances (triggering events), which indicate that the carrying amount may not be recoverable. The company continuously monitors its revenue, gross profit and operating profit growth and evaluates other relevant events and circumstances including changes to U.S. treasury rates and equity risk premiums, tax rates, recent market valuations from transactions by comparable companies, volatility in the company’s market capitalization, and general industry, market and macro-economic conditions, that could unfavorably impact the recoverability of the goodwill carrying value.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reviewed its estimated long-term expected future cash flows for the DWS reporting unit. DWS projected gross profit was below the previous estimated forecast primarily due to continued competitive pressure resulting from industry and macro-economic conditions. Based on this, the company concluded that a triggering event existed and conducted a quantitative goodwill assessment for DWS reporting unit as of June 30,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DWS reporting unit was estimated using both the income approach and the market approach using a weighted methodology to determine its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income approach is a forward-looking approach to estimating fair value and relies primarily on internal forecasts. Within the income approach, the discounted cash flow method is used, which is considered a Level 3 nonrecurring fair value measurement. The company starts with a forecast of all expected net cash flows associated with the reporting unit, which includes the application of a terminal value, and then applies a reporting unit-specific discount rate to arrive at a net present value amount. Significant estimates and assumptions inherent in this approach include the amount and timing of projected net cash flows, long-term growth rate and the discount rate. Cash flow projections are based on management’s estimates of economic and market conditions, which drive key assumptions of revenue growth rates and operating margins. The discount rate, in turn, is based on various market factors and specific risk characteristics of each reporting unit.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 approach relies primarily on external information for estimating the fair value. Significant estimates and assumptions inherent in this approach include the selection of appropriate guideline companies and the selected performance metric used in this approach.</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goodwill impairment analysis performed during the second quarter of 2026, the carrying value of the DWS reporting unit exceeded its respective fair value, resulting in the recognition of a goodwill impairment charge of $47.2 million for both the three and six months ended June 30, 2026. The impairment charge represented the entire remaining goodwill balance allocated to the DWS reporting unit, resulting in a full write-off of the reporting unit's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3260"/>
                <wp:effectExtent l="0" t="0" r="0" b="0"/>
                <wp:wrapNone/>
                <wp:docPr id="17" name="Frame1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at June 30, 2026, consisted of the following:</w:t>
      </w:r>
    </w:p>
    <w:tbl>
      <w:tblPr>
        <w:tblW w:w="10205" w:type="dxa"/>
        <w:jc w:val="left"/>
        <w:tblInd w:w="0" w:type="dxa"/>
        <w:tblLayout w:type="fixed"/>
        <w:tblCellMar>
          <w:top w:w="28" w:type="dxa"/>
          <w:left w:w="28" w:type="dxa"/>
          <w:bottom w:w="28" w:type="dxa"/>
          <w:right w:w="28" w:type="dxa"/>
        </w:tblCellMar>
      </w:tblPr>
      <w:tblGrid>
        <w:gridCol w:w="645"/>
        <w:gridCol w:w="569"/>
        <w:gridCol w:w="571"/>
        <w:gridCol w:w="109"/>
        <w:gridCol w:w="109"/>
        <w:gridCol w:w="109"/>
        <w:gridCol w:w="396"/>
        <w:gridCol w:w="960"/>
        <w:gridCol w:w="204"/>
        <w:gridCol w:w="109"/>
        <w:gridCol w:w="109"/>
        <w:gridCol w:w="109"/>
        <w:gridCol w:w="482"/>
        <w:gridCol w:w="1169"/>
        <w:gridCol w:w="249"/>
        <w:gridCol w:w="109"/>
        <w:gridCol w:w="109"/>
        <w:gridCol w:w="109"/>
        <w:gridCol w:w="620"/>
        <w:gridCol w:w="1197"/>
        <w:gridCol w:w="322"/>
        <w:gridCol w:w="109"/>
        <w:gridCol w:w="109"/>
        <w:gridCol w:w="109"/>
        <w:gridCol w:w="362"/>
        <w:gridCol w:w="878"/>
        <w:gridCol w:w="273"/>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relationships </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 xml:space="preserve">Amortization expense is included within selling, general and administrative expense in the consolidated statements of income (loss).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For both the three months ended June 30, 2026 and 2025, amortization expense was $1.0 million. For the six months ended June 30, 2026 and 2025, amortization expense was $2.0 million and $2.1 million, respectively.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are tested for impairment whenever events or changes in circumstances would indicate that the carrying value may not be recoverable. An impairment charge would be recognized if the carrying value exceeds fair value in the consolidated statement of income (loss) in the period the impairment is identified.</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both the three and six months ended June 30, 2026, the company recorded an impairment charge of $1.5 million related to a customer relationship intangible asset. The impairment was triggered by revised expectations regarding future cash flows. Fair value was determined using a discounted cash flow methodology and is classified as a Level 3 fair value measurement. The impairment charge was recorded within goodwill and intangible asset impairment in the consolidated statements of income (loss).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future amortization relating to acquired intangible assets at June 30, 2026, was estimated as follows:</w:t>
      </w:r>
    </w:p>
    <w:tbl>
      <w:tblPr>
        <w:tblW w:w="4542"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609"/>
        <w:gridCol w:w="1479"/>
        <w:gridCol w:w="44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Future Amortization Expense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13 -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is comprised of the following:</w:t>
      </w:r>
    </w:p>
    <w:tbl>
      <w:tblPr>
        <w:tblW w:w="10205" w:type="dxa"/>
        <w:jc w:val="left"/>
        <w:tblInd w:w="0" w:type="dxa"/>
        <w:tblLayout w:type="fixed"/>
        <w:tblCellMar>
          <w:top w:w="28" w:type="dxa"/>
          <w:left w:w="28" w:type="dxa"/>
          <w:bottom w:w="28" w:type="dxa"/>
          <w:right w:w="28" w:type="dxa"/>
        </w:tblCellMar>
      </w:tblPr>
      <w:tblGrid>
        <w:gridCol w:w="2667"/>
        <w:gridCol w:w="2344"/>
        <w:gridCol w:w="2357"/>
        <w:gridCol w:w="109"/>
        <w:gridCol w:w="109"/>
        <w:gridCol w:w="109"/>
        <w:gridCol w:w="225"/>
        <w:gridCol w:w="657"/>
        <w:gridCol w:w="116"/>
        <w:gridCol w:w="109"/>
        <w:gridCol w:w="109"/>
        <w:gridCol w:w="109"/>
        <w:gridCol w:w="254"/>
        <w:gridCol w:w="743"/>
        <w:gridCol w:w="188"/>
      </w:tblGrid>
      <w:tr>
        <w:trPr/>
        <w:tc>
          <w:tcPr>
            <w:tcW w:w="2667"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7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10.625% senior secured notes due January 15, 2031 (Face value of $698.4 million and $700.0 million less unamortized issuance costs of $11.5 million and $12.8 million at June 30, 2026 and December 31, 2025, respectively)</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14" w:type="dxa"/>
        <w:jc w:val="left"/>
        <w:tblInd w:w="0" w:type="dxa"/>
        <w:tblLayout w:type="fixed"/>
        <w:tblCellMar>
          <w:top w:w="28" w:type="dxa"/>
          <w:left w:w="28" w:type="dxa"/>
          <w:bottom w:w="28" w:type="dxa"/>
          <w:right w:w="28" w:type="dxa"/>
        </w:tblCellMar>
      </w:tblPr>
      <w:tblGrid>
        <w:gridCol w:w="1058"/>
        <w:gridCol w:w="932"/>
        <w:gridCol w:w="132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See Note 10 for the fair value of the notes.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Secured Notes due 2031</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completed a private placement offering of $700.0 million aggregate principal amount of its 10.625% Senior Secured Notes due 2031 (the 2031 Notes). The 2031 Notes pay interest semiannually on January 15 and July 15, and will mature on January 15, 2031, unless earlier repurchased or redeemed by the company. The 2031 Notes are fully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83260"/>
                <wp:effectExtent l="0" t="0" r="0" b="0"/>
                <wp:wrapNone/>
                <wp:docPr id="18" name="Frame1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unconditionally guaranteed on a senior secured basis by Unisys Holding Corporation, Unisys AP Investment Company I and Unisys NPL, Inc., each a Delaware corporation that is directly or indirectly wholly owned by the company (the Subsidiary Guarantors).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$1.6 million of the 2031 Notes from the open market for $1.4 million. The company recorded a gain on debt extinguishment of $0.2 million, reported in other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2031 Notes is comprised of the following:</w:t>
      </w:r>
    </w:p>
    <w:tbl>
      <w:tblPr>
        <w:tblW w:w="8160"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84"/>
        <w:gridCol w:w="687"/>
        <w:gridCol w:w="146"/>
        <w:gridCol w:w="146"/>
        <w:gridCol w:w="146"/>
        <w:gridCol w:w="146"/>
        <w:gridCol w:w="284"/>
        <w:gridCol w:w="546"/>
        <w:gridCol w:w="146"/>
        <w:gridCol w:w="109"/>
        <w:gridCol w:w="109"/>
        <w:gridCol w:w="109"/>
        <w:gridCol w:w="260"/>
        <w:gridCol w:w="632"/>
        <w:gridCol w:w="134"/>
        <w:gridCol w:w="134"/>
        <w:gridCol w:w="134"/>
        <w:gridCol w:w="134"/>
        <w:gridCol w:w="260"/>
        <w:gridCol w:w="502"/>
        <w:gridCol w:w="190"/>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Senior Secured Notes due 2027</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2025, the company satisfied and discharged the indenture relating to the $485.0 million aggregate principal amount of the 6.875% Senior Secured Notes due November 1, 2027 (the 2027 Notes). The company paid an aggregate amount of $493.5 million, which was made up of the following: $485.0 million of principal amount, $3.0 million of early tender premium and $5.5 million of accrued but unpaid interest on the 2027 Notes to be redeemed to, but not including, the redemption date. In 2025, the company recorded a loss on debt extinguishment in relation to the satisfaction and discharge of the 2027 Notes of $7.0 million, reported in other (expense), net in the consolidated statements of income (loss), which included $4.0 million in unamortized debt issuance costs write-off and other expenses and an early tender premium of $3.0 million paid to repurchase a portion of the 2027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2027 Notes was comprised of the following:</w:t>
      </w:r>
    </w:p>
    <w:tbl>
      <w:tblPr>
        <w:tblW w:w="9534"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109"/>
        <w:gridCol w:w="109"/>
        <w:gridCol w:w="868"/>
        <w:gridCol w:w="1675"/>
        <w:gridCol w:w="456"/>
        <w:gridCol w:w="109"/>
        <w:gridCol w:w="109"/>
        <w:gridCol w:w="109"/>
        <w:gridCol w:w="109"/>
        <w:gridCol w:w="109"/>
        <w:gridCol w:w="686"/>
        <w:gridCol w:w="1663"/>
        <w:gridCol w:w="50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coupon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Asset Based Lending (ABL)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secured revolving credit facility (the Amended and Restated ABL Credit Facility), which matures in June 2030. The Amended and Restated ABL Credit Facility provides for revolving loans and letters of credit up to an aggregate amount of $125.0 million (with a limit on letters of credit of $40.0 million), with an uncommitted accordion feature allowing for the aggregate amount available to be increased up to $155.0 million upon the satisfaction of certain specified conditions.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Amended and Restated ABL Credit Facility is subject to a borrowing base calculated by reference to the company’s receivables. At June 30, 2026, the company had no borrowings and $6.1 million of letters of credit outstanding. Availability under the Amended and Restated ABL Credit Facility was $99.7 million, net of letters of credit issued. Any borrowings under the Amended and Restated ABL Credit Facility will be subject to variable interest 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ABL Credit Facility is guaranteed by Unisys Holding Corporation, Unisys NPL, Inc. and Unisys AP Investment Company I, each of which is a U.S. corporation that is directly or indirectly owned by the company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Bank of America, N.A., as agent for the lenders under the credit facility.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has met all covenants and conditions under its various lending and funding agreements. For at least the next 12 months, the company expects to continue to meet these covenants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83260"/>
                <wp:effectExtent l="0" t="0" r="0" b="0"/>
                <wp:wrapNone/>
                <wp:docPr id="19" name="Frame1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14 - Litigation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wide range of lawsuits, claims, investigations and proceedings, which arise in the ordinary course of business, including actions with respect to commercial and government contracts, labor and employment, employee benefits, environmental matters, intellectual property and non-income tax matters. Further, given the rapidly evolving external landscape of cybersecurity, privacy, artificial intelligence, and data protection laws, regulations, threat actors, and heightened client expectations and demands, the company and its clients have been and will continue to be subject to actions or proceedings in various jurisdictions. These matters can involve a number of different parties, including competitors, clients, current or former employees, government and regulatory agencies, stockholders and representatives of the locations in which the company does business. Many of these matters are also highly complex and may seek recovery on behalf of a class or similarly large number of plaintiffs. It is therefore inherently difficult to predict the size or scope of potential future losses arising from these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a provision for these matters when it is both probable that a liability has been incurred and the amount of the loss can be reasonably estimated and a gain contingency when the award or recovery is realized or realizable. Significant judgment is required in both the determination of probability and the determination as to whether an exposure is reasonably estimable. Because of uncertainties related to these matters, accruals are based only on the best information available at the time. Any provisions are reviewed at least quarterly and are adjusted to reflect the impact and status of settlements, rulings, advice of counsel and other information and events pertinent to a particular matter. These adjustments could have a material impact on our results of operations and financial position.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defend itself vigorously with respect to any legal matters. Based on its experience, the company also believes that the damage amounts claimed against it in the matters disclosed below are not a meaningful indicator of the company’s potential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are inherently unpredictable and unfavorable resolutions have and could occur. 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company’s consolidated financial statements; and the unique facts and circumstances of the particular matter that may give rise to additional factors. Accordingly, it is possible that an adverse outcome from such matters could be material to the company’s financial condition, results of operations and cash flows in any particular reporting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Notwithstanding that the ultimate results of the lawsuits, claims, investigations and proceedings that have been brought or asserted against the company are not currently determinable, the company believes that at June 30, 2026, it has adequate provisions for any such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more significant legal proceedings involving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June 30, 2026, excluding those matters that have been assessed by management as being remote as to the likelihood of ultimately resulting in a loss, the amount related to unreserved tax-related matters, inclusive of any related interest, is estimated to be approximately $100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 Nonetheless, the company is unable to predict the outcome from such matters and it is possible that an adverse result could be material to the company’s financial conditions,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83260"/>
                <wp:effectExtent l="0" t="0" r="0" b="0"/>
                <wp:wrapNone/>
                <wp:docPr id="20" name="Frame2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an estimated environmental liability for a site that its predecessor company previously operated of approximately $18 million, of which $5 million is reported in other accrued liabilities and $13 million in other long-term liabilities on the company’s consolidated balance sheets. The company has an agreement related to this site, which provides for a partial reimbursement of certain costs when all cleanup work has been approved and finalized. As of June 30, 2026, the company expects to recover approximately $33 million, which is included in other long-term assets on the company’s consolidated balance sheets. As the company continues to perform investigation activities and if events and circumstances change, the company may incur future additional costs, which could have a material impact on the company’s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15 - Accumulated Other Comprehensive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is as follows:</w:t>
      </w:r>
    </w:p>
    <w:tbl>
      <w:tblPr>
        <w:tblW w:w="10205" w:type="dxa"/>
        <w:jc w:val="left"/>
        <w:tblInd w:w="0" w:type="dxa"/>
        <w:tblLayout w:type="fixed"/>
        <w:tblCellMar>
          <w:top w:w="28" w:type="dxa"/>
          <w:left w:w="28" w:type="dxa"/>
          <w:bottom w:w="28" w:type="dxa"/>
          <w:right w:w="28" w:type="dxa"/>
        </w:tblCellMar>
      </w:tblPr>
      <w:tblGrid>
        <w:gridCol w:w="1858"/>
        <w:gridCol w:w="1593"/>
        <w:gridCol w:w="1603"/>
        <w:gridCol w:w="109"/>
        <w:gridCol w:w="109"/>
        <w:gridCol w:w="109"/>
        <w:gridCol w:w="211"/>
        <w:gridCol w:w="835"/>
        <w:gridCol w:w="109"/>
        <w:gridCol w:w="109"/>
        <w:gridCol w:w="109"/>
        <w:gridCol w:w="109"/>
        <w:gridCol w:w="211"/>
        <w:gridCol w:w="690"/>
        <w:gridCol w:w="109"/>
        <w:gridCol w:w="109"/>
        <w:gridCol w:w="109"/>
        <w:gridCol w:w="109"/>
        <w:gridCol w:w="350"/>
        <w:gridCol w:w="1395"/>
        <w:gridCol w:w="260"/>
      </w:tblGrid>
      <w:tr>
        <w:trPr/>
        <w:tc>
          <w:tcPr>
            <w:tcW w:w="185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Pension and Postretirement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Plans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2057"/>
        <w:gridCol w:w="1733"/>
        <w:gridCol w:w="1737"/>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5"/>
      </w:tblGrid>
      <w:tr>
        <w:trPr/>
        <w:tc>
          <w:tcPr>
            <w:tcW w:w="205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substantial completion of liquidation of certain foreign subsidiaries</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Pension and postretirement plans</w:t>
            </w:r>
            <w:r>
              <w:rPr>
                <w:rFonts w:ascii="Times New Roman;serif" w:hAnsi="Times New Roman;serif"/>
                <w:b w:val="false"/>
                <w:color w:val="000000"/>
                <w:sz w:val="13"/>
              </w:rPr>
              <w:t>(ii)</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left"/>
        <w:tblInd w:w="0" w:type="dxa"/>
        <w:tblLayout w:type="fixed"/>
        <w:tblCellMar>
          <w:top w:w="28" w:type="dxa"/>
          <w:left w:w="28" w:type="dxa"/>
          <w:bottom w:w="28" w:type="dxa"/>
          <w:right w:w="28" w:type="dxa"/>
        </w:tblCellMar>
      </w:tblPr>
      <w:tblGrid>
        <w:gridCol w:w="2028"/>
        <w:gridCol w:w="1787"/>
        <w:gridCol w:w="2529"/>
      </w:tblGrid>
      <w:tr>
        <w:trPr/>
        <w:tc>
          <w:tcPr>
            <w:tcW w:w="20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Reported in other (expense), net in the consolidated statements of income (loss).</w:t>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(ii)</w:t>
            </w:r>
            <w:r>
              <w:rPr>
                <w:rFonts w:ascii="Times New Roman;serif" w:hAnsi="Times New Roman;serif"/>
                <w:b w:val="false"/>
                <w:color w:val="000000"/>
                <w:sz w:val="18"/>
              </w:rPr>
              <w:t>These items are included in net periodic pension and postretirement cost (see Note 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3260"/>
                <wp:effectExtent l="0" t="0" r="0" b="0"/>
                <wp:wrapNone/>
                <wp:docPr id="21" name="Frame2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16 - Supplemental Cash Flow Information</w:t>
      </w:r>
    </w:p>
    <w:tbl>
      <w:tblPr>
        <w:tblW w:w="4749" w:type="dxa"/>
        <w:jc w:val="left"/>
        <w:tblInd w:w="0" w:type="dxa"/>
        <w:tblLayout w:type="fixed"/>
        <w:tblCellMar>
          <w:top w:w="28" w:type="dxa"/>
          <w:left w:w="28" w:type="dxa"/>
          <w:bottom w:w="28" w:type="dxa"/>
          <w:right w:w="28" w:type="dxa"/>
        </w:tblCellMar>
      </w:tblPr>
      <w:tblGrid>
        <w:gridCol w:w="982"/>
        <w:gridCol w:w="862"/>
        <w:gridCol w:w="871"/>
        <w:gridCol w:w="211"/>
        <w:gridCol w:w="511"/>
        <w:gridCol w:w="109"/>
        <w:gridCol w:w="109"/>
        <w:gridCol w:w="109"/>
        <w:gridCol w:w="109"/>
        <w:gridCol w:w="211"/>
        <w:gridCol w:w="51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consolidated balance sheets to the total of the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569"/>
        <w:gridCol w:w="2242"/>
        <w:gridCol w:w="2255"/>
        <w:gridCol w:w="269"/>
        <w:gridCol w:w="789"/>
        <w:gridCol w:w="139"/>
        <w:gridCol w:w="109"/>
        <w:gridCol w:w="109"/>
        <w:gridCol w:w="109"/>
        <w:gridCol w:w="346"/>
        <w:gridCol w:w="1012"/>
        <w:gridCol w:w="257"/>
      </w:tblGrid>
      <w:tr>
        <w:trPr/>
        <w:tc>
          <w:tcPr>
            <w:tcW w:w="2569"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7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7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consolidated statements of cash flows</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subject to contractual restrictions, and are therefore not readily available, are classified as restricted cash. At June 30, 2026, the company maintains cash balances in various operating accounts in excess of federally insured limits. The company monitors this risk by evaluating the creditworthiness of the financial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17 - 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Digital Workplace Solutions (DWS), which provides workplace solutions featuring intelligent workplace services, proactive experience management and collaboration tools to support business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Cloud, Applications &amp; Infrastructure Solutions (CA&amp;I), which provides digital transformation in the areas of cloud migration and management, applications and infrastructure transformation and modernization solutions;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Enterprise Computing Solutions (ECS), which provides solutions that harness secure, high-intensity enterprise computing and enable digital services through software-defined operating environments.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segment structure reflects the financial information used by the company’s chief operating decision maker (CODM) to make decisions regarding the company’s business, including resource allocations and performance assessments, as well as the current operating focus.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CODM evaluates the performance of the segments based on segment revenue and segment gross profit. The company’s CODM regularly reviews cost of revenues by segment and treats it as a significant segment expense. Segment revenue and segment gross profit are exclusive of certain activities and expenses that are not allocated to specific segments and reported in Other as described below. The company does not report assets by reportable segments as this information is not reviewed by the CODM on a regular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as presented in the reconciliation tables below, includes revenue and cost of revenue associated with the company’s United Kingdom business process outsourcing consolidated joint venture, which is a non-core business activity. Additionally, Other includes certain expenses within cost of revenue such as cost reduction charges, amortization of purchased intangibles and unusual and nonrecurring items that are not allocated to specific segments. These amounts are combined within other revenue and other gross profit (loss) to arrive at total consolidated revenue and total consolidated gross profit (loss) as reported in the reconciliations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3260"/>
                <wp:effectExtent l="0" t="0" r="0" b="0"/>
                <wp:wrapNone/>
                <wp:docPr id="22" name="Frame2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financial information by reportable segments:</w:t>
      </w:r>
    </w:p>
    <w:tbl>
      <w:tblPr>
        <w:tblW w:w="8464"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70"/>
        <w:gridCol w:w="790"/>
        <w:gridCol w:w="13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25" w:type="dxa"/>
        <w:jc w:val="left"/>
        <w:tblInd w:w="0" w:type="dxa"/>
        <w:tblLayout w:type="fixed"/>
        <w:tblCellMar>
          <w:top w:w="28" w:type="dxa"/>
          <w:left w:w="28" w:type="dxa"/>
          <w:bottom w:w="28" w:type="dxa"/>
          <w:right w:w="28" w:type="dxa"/>
        </w:tblCellMar>
      </w:tblPr>
      <w:tblGrid>
        <w:gridCol w:w="1038"/>
        <w:gridCol w:w="912"/>
        <w:gridCol w:w="915"/>
        <w:gridCol w:w="109"/>
        <w:gridCol w:w="109"/>
        <w:gridCol w:w="109"/>
        <w:gridCol w:w="270"/>
        <w:gridCol w:w="790"/>
        <w:gridCol w:w="13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Presented below is a reconciliation of total segment revenue to total consolidated revenue:</w:t>
      </w:r>
    </w:p>
    <w:tbl>
      <w:tblPr>
        <w:tblW w:w="7436" w:type="dxa"/>
        <w:jc w:val="left"/>
        <w:tblInd w:w="0" w:type="dxa"/>
        <w:tblLayout w:type="fixed"/>
        <w:tblCellMar>
          <w:top w:w="28" w:type="dxa"/>
          <w:left w:w="28" w:type="dxa"/>
          <w:bottom w:w="28" w:type="dxa"/>
          <w:right w:w="28" w:type="dxa"/>
        </w:tblCellMar>
      </w:tblPr>
      <w:tblGrid>
        <w:gridCol w:w="847"/>
        <w:gridCol w:w="743"/>
        <w:gridCol w:w="74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3260"/>
                <wp:effectExtent l="0" t="0" r="0" b="0"/>
                <wp:wrapNone/>
                <wp:docPr id="23" name="Frame2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Presented below is a reconciliation of total segment gross profit to consolidated income (loss) before income taxes:</w:t>
      </w:r>
    </w:p>
    <w:tbl>
      <w:tblPr>
        <w:tblW w:w="8832" w:type="dxa"/>
        <w:jc w:val="left"/>
        <w:tblInd w:w="0" w:type="dxa"/>
        <w:tblLayout w:type="fixed"/>
        <w:tblCellMar>
          <w:top w:w="28" w:type="dxa"/>
          <w:left w:w="28" w:type="dxa"/>
          <w:bottom w:w="28" w:type="dxa"/>
          <w:right w:w="28" w:type="dxa"/>
        </w:tblCellMar>
      </w:tblPr>
      <w:tblGrid>
        <w:gridCol w:w="1325"/>
        <w:gridCol w:w="1163"/>
        <w:gridCol w:w="1172"/>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Geographic information about the company’s revenue, which is principally based on location of the selling organization, is presented below:</w:t>
      </w:r>
    </w:p>
    <w:tbl>
      <w:tblPr>
        <w:tblW w:w="6582"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83260"/>
                <wp:effectExtent l="0" t="0" r="0" b="0"/>
                <wp:wrapNone/>
                <wp:docPr id="24" name="Frame2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ind w:left="0" w:right="0" w:hanging="900"/>
        <w:jc w:val="left"/>
        <w:rPr>
          <w:rFonts w:ascii="Times New Roman;serif" w:hAnsi="Times New Roman;serif"/>
          <w:b/>
          <w:color w:val="000000"/>
          <w:sz w:val="28"/>
        </w:rPr>
      </w:pPr>
      <w:r>
        <w:rPr>
          <w:rFonts w:ascii="Times New Roman;serif" w:hAnsi="Times New Roman;serif"/>
          <w:b/>
          <w:color w:val="000000"/>
          <w:sz w:val="28"/>
        </w:rPr>
        <w:t>Item 2. Management’s Discussion and Analysis of Financial Condition and Results of Operations</w:t>
      </w:r>
    </w:p>
    <w:p>
      <w:pPr>
        <w:pStyle w:val="TextBody"/>
        <w:bidi w:val="0"/>
        <w:spacing w:lineRule="auto" w:line="26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should be read in conjunction with the consolidated financial statements and the related notes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reported net loss attributable to Unisys Corporation of $95.3 million, or $1.31 per diluted share, compared with a loss of $20.1 million, or $0.28 per diluted share, for the three months ended June 30, 2025.</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reported net loss attributable to Unisys Corporation of $131.1 million, or $1.81 per diluted share, compared with a loss of $49.6 million, or $0.70 per diluted share, for the six months ended June 30, 2025.</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net loss attributable to Unisys Corporation included a goodwill impairment charge of $47.2 million related to the Digital Workplace Solutions (DWS)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Company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compared with the three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for the three months ended June 30, 2026 was $473.5 million compared with $483.3 million for the three months ended June 30, 2025, a decrease of 2.0% from the prior-year period. The decrease was primarily driven by the timing of ClearPath license renewals. Foreign currency fluctuations had a 3 percentage-point positive impact on revenue in the current period compared with the prior-year period.</w:t>
      </w:r>
    </w:p>
    <w:p>
      <w:pPr>
        <w:pStyle w:val="TextBody"/>
        <w:bidi w:val="0"/>
        <w:spacing w:lineRule="auto" w:line="288" w:before="120" w:after="283"/>
        <w:jc w:val="left"/>
        <w:rPr/>
      </w:pPr>
      <w:r>
        <w:rPr>
          <w:rFonts w:ascii="Times New Roman;serif" w:hAnsi="Times New Roman;serif"/>
          <w:b w:val="false"/>
          <w:color w:val="000000"/>
          <w:sz w:val="20"/>
        </w:rPr>
        <w:t>Effective in the second quarter of 2026, the company updated the naming conventions used to describe certain solution groupings to better reflect the nature of its offerings. The company renamed License and Support to ClearPath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Excluding License and Support to Technology Solutions &amp; Services (TS&amp;S). These changes did not impact the company’s reportable segments, the recognition or measurement of revenue and expenses or the consolidated financial statements. As such, previously reported financial information has not been adjusted.</w:t>
      </w:r>
    </w:p>
    <w:p>
      <w:pPr>
        <w:pStyle w:val="TextBody"/>
        <w:bidi w:val="0"/>
        <w:spacing w:lineRule="auto" w:line="288" w:before="120" w:after="283"/>
        <w:jc w:val="left"/>
        <w:rPr/>
      </w:pPr>
      <w:r>
        <w:rPr>
          <w:rFonts w:ascii="Times New Roman;serif" w:hAnsi="Times New Roman;serif"/>
          <w:b w:val="false"/>
          <w:color w:val="000000"/>
          <w:sz w:val="20"/>
        </w:rPr>
        <w:t>ClearPath represents software license and related support services, primarily ClearPath Forward</w:t>
      </w:r>
      <w:r>
        <w:rPr>
          <w:rFonts w:ascii="Times New Roman;serif" w:hAnsi="Times New Roman;serif"/>
          <w:b w:val="false"/>
          <w:color w:val="000000"/>
          <w:sz w:val="13"/>
        </w:rPr>
        <w:t>TM</w:t>
      </w:r>
      <w:r>
        <w:rPr>
          <w:rFonts w:ascii="Times New Roman;serif" w:hAnsi="Times New Roman;serif"/>
          <w:b w:val="false"/>
          <w:color w:val="000000"/>
          <w:sz w:val="20"/>
        </w:rPr>
        <w:t>, within the company's Enterprise Computing Solutions (ECS) segment. Software license renewals tend to be significant and impactful to revenue and gross profit based on timing, which can fluctuate considerably from quarter to quarter. For the three months ended June 30, 2026, ClearPath revenue was $69.7 million compared to $87.6 million for the three months ended June 30, 2025, a decrease of 20.4%. The decrease was primarily driven by the timing of ClearPath license renewals. Foreign currency fluctuations had a 2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TS&amp;S measures include the revenue, gross profit and gross profit margin of the company’s DWS segment, Cloud, Applications &amp; Infrastructure Solutions (CA&amp;I) segment and ECS segment, excluding ClearPath software license and support services. TS&amp;S revenue for the three months ended June 30, 2026 was $403.8 million compared with $395.7 million for the three months ended June 30, 2025, an increase of 2.0%. Foreign currency fluctuations had a 3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recognized net cost-reduction charges related to workforce reductions of $4.1 million, compared with net charges of $1.5 million for the three months ended June 30, 2025. Additionally, during the three months ended June 30, 2026, the company recorded lease abandonment charges and other costs related to cost-reduction efforts of $2.0 million. During the three months ended June 30, 2025, the company recorded an asset write-off and other costs related to cost reduction charges of $3.3 million. See Note 3 of the Notes to Consolidated Financial Statements for details of the cost reductions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83260"/>
                <wp:effectExtent l="0" t="0" r="0" b="0"/>
                <wp:wrapNone/>
                <wp:docPr id="25" name="Frame2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related to cost reduction actions were recorded in the following statement of income (loss) classifications:</w:t>
      </w:r>
    </w:p>
    <w:tbl>
      <w:tblPr>
        <w:tblW w:w="6006" w:type="dxa"/>
        <w:jc w:val="left"/>
        <w:tblInd w:w="0" w:type="dxa"/>
        <w:tblLayout w:type="fixed"/>
        <w:tblCellMar>
          <w:top w:w="28" w:type="dxa"/>
          <w:left w:w="28" w:type="dxa"/>
          <w:bottom w:w="28" w:type="dxa"/>
          <w:right w:w="28" w:type="dxa"/>
        </w:tblCellMar>
      </w:tblPr>
      <w:tblGrid>
        <w:gridCol w:w="1072"/>
        <w:gridCol w:w="938"/>
        <w:gridCol w:w="945"/>
        <w:gridCol w:w="109"/>
        <w:gridCol w:w="109"/>
        <w:gridCol w:w="109"/>
        <w:gridCol w:w="266"/>
        <w:gridCol w:w="513"/>
        <w:gridCol w:w="137"/>
        <w:gridCol w:w="137"/>
        <w:gridCol w:w="137"/>
        <w:gridCol w:w="137"/>
        <w:gridCol w:w="266"/>
        <w:gridCol w:w="513"/>
        <w:gridCol w:w="137"/>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and gross profit margin were $117.3 million and 24.8% in the three months ended June 30, 2026, respectively, compared with $130.0 million and 26.9% for the three months ended June 30, 2025, respectively. The decreases were primarily driven by the timing of ClearPath license renewals.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TS&amp;S profit and gross profit margin for the three months ended June 30, 2026 were $77.8 million and 19.3%, respectively, compared with $69.7 million and 17.6% for the three months ended June 30, 2025, respectively. The increases were primarily driven by delivery improvement and labor cost savings initiatives, partially offset by lower-margins generated by DWS during the current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during the three months ended June 30, 2026, gross profit margin and TS&amp;S gross profit margin benefited by 50 and 60 basis points, respectively, from a first quarter transaction within the company’s United Kingdom business process outsourcing consolidated joint venture. This transaction is expected to generate gross margin benefit of approximately $3 million quarterly and $12 million for the full 2026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 the three months ended June 30, 2026 was $95.7 million (20.2% of revenue) compared with $93.6 million (19.4% of revenue) for the three months ended June 30, 2025. The increase was primarily attributable to higher cost reduction charges.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for the three months ended June 30, 2026 and 2025 was $5.8 million and $6.1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reported an operating loss of $32.9 million compared with an operating profit of $30.3 million in the three months ended June 30, 2025. For the three months ended June 30, 2026, the operating loss included a goodwill impairment of $47.2 million related to the DWS reportable segment (see Note 12 of the Notes to Consolidated Financial Statements for details on the goodwill impairment).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and 2025 was $18.3 million and $8.2 million, respectively. The increase was primarily due to increased long-term debt balance and higher interest rate following the issuance of $700.0 million aggregate principal amount of 10.625% Senior Secured Notes due 2031 (the 2031 Notes) in June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was expense of $28.6 million for the three months ended June 30, 2026, compared with expense of $22.1 million for the three months ended June 30, 2025. The increase in other (expense), net was primarily driven by higher pension and postretirement expense. See Note 6 of the Notes to Consolidated Financial Statements for details of other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loss before income taxes for the three months ended June 30, 2026 was $79.8 million, which included a goodwill impairment charge of $47.2 million related to the DWS reportable segment. The company had no income or loss before income taxes for the three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$15.8 million for the three months ended June 30, 2026, compared with a provision of $20.0 million for the three months ended June 30, 2025. The change in the tax provision was primarily driven by the geographic distribution of income. The effective tax rate for the three months ended June 30, 2026 was (19.8)% primarily driven by U.S. operating losses with no tax benefit as the deferred tax assets are subject to a full valuation allowance, non-creditable withholding taxes in the U.S., and jurisdictions with no valuation allowance that are subject to tax. The effective tax rate for the three months ended June 30, 2025 is not a meaningful measure due to the lack of pre-tax income or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83260"/>
                <wp:effectExtent l="0" t="0" r="0" b="0"/>
                <wp:wrapNone/>
                <wp:docPr id="26" name="Frame2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realization of the company’s net deferred tax assets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 for the three months ended June 30, 2026 was $95.3 million, or $1.31 per diluted share, compared with a net loss of $20.1 million, or $0.28 per diluted share, for the three months ended June 30, 2025. The net loss for the three months ended June 30, 2026 included a goodwill impairment charge of $47.2 million related to the DWS reportable segment.</w:t>
      </w:r>
    </w:p>
    <w:p>
      <w:pPr>
        <w:pStyle w:val="TextBody"/>
        <w:bidi w:val="0"/>
        <w:spacing w:lineRule="auto" w:line="268" w:before="100" w:after="283"/>
        <w:jc w:val="left"/>
        <w:rPr>
          <w:rFonts w:ascii="Times New Roman;serif" w:hAnsi="Times New Roman;serif"/>
          <w:b/>
          <w:i/>
          <w:color w:val="000000"/>
          <w:sz w:val="20"/>
        </w:rPr>
      </w:pPr>
      <w:r>
        <w:rPr>
          <w:rFonts w:ascii="Times New Roman;serif" w:hAnsi="Times New Roman;serif"/>
          <w:b/>
          <w:i/>
          <w:color w:val="000000"/>
          <w:sz w:val="20"/>
        </w:rPr>
        <w:t>Six months ended June 30, 2026 compared with the six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for the six months ended June 30, 2026 was $911.1 million compared with $915.4 million for the six months ended June 30, 2025, a decrease of 0.5% from the prior-year period. Foreign currency fluctuations had a 4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ClearPath revenue was $135.2 million compared to $158.7 million for the six months ended June 30, 2025, a decrease of 14.8%. The decrease was primarily driven by the timing of ClearPath license renewals. Foreign currency fluctuations had a 3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TS&amp;S revenue for the six months ended June 30, 2026 was $775.9 million compared with $756.7 million for the six months ended June 30, 2025, an increase of 2.5%. Foreign currency fluctuations had a 5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net cost-reduction charges related to workforce reductions of $4.8 million, compared with net charges of $1.2 million for the six months ended June 30, 2025. Additionally, during the six months ended June 30, 2026, the company recorded lease abandonment charges and other costs relating to cost reduction efforts of $2.8 million. During the six months ended June 30, 2025, the company recorded an asset write-off and other costs related to cost reduction charges of $3.5 million. See Note 3 of the Notes to Consolidated Financial Statements for details of the cost reductions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were recorded in the following statement of income (loss) classifications:</w:t>
      </w:r>
    </w:p>
    <w:tbl>
      <w:tblPr>
        <w:tblW w:w="5409" w:type="dxa"/>
        <w:jc w:val="left"/>
        <w:tblInd w:w="0" w:type="dxa"/>
        <w:tblLayout w:type="fixed"/>
        <w:tblCellMar>
          <w:top w:w="28" w:type="dxa"/>
          <w:left w:w="28" w:type="dxa"/>
          <w:bottom w:w="28" w:type="dxa"/>
          <w:right w:w="28" w:type="dxa"/>
        </w:tblCellMar>
      </w:tblPr>
      <w:tblGrid>
        <w:gridCol w:w="1072"/>
        <w:gridCol w:w="938"/>
        <w:gridCol w:w="945"/>
        <w:gridCol w:w="109"/>
        <w:gridCol w:w="109"/>
        <w:gridCol w:w="109"/>
        <w:gridCol w:w="246"/>
        <w:gridCol w:w="474"/>
        <w:gridCol w:w="127"/>
        <w:gridCol w:w="127"/>
        <w:gridCol w:w="127"/>
        <w:gridCol w:w="127"/>
        <w:gridCol w:w="246"/>
        <w:gridCol w:w="474"/>
        <w:gridCol w:w="179"/>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profit and gross profit margin were $229.8 million and 25.2% in the six months ended June 30, 2026, respectively, compared with $237.5 million and 25.9% in the six months ended June 30,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 and gross profit margin for the six months ended June 30, 2026 were $150.5 million and 19.4%, respectively, compared with $133.9 million and 17.7% for the six months ended June 30, 2025, respectively. The increases were primarily driven by delivery improvement and labor cost savings initiatives.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gross profit margin and TS&amp;S gross profit margin benefited by 50 and 60 basis points, respectively, from a first quarter transaction within the company’s United Kingdom business process outsourcing consolidated joint venture.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 the six months ended June 30, 2026 was $187.2 million (20.5% of revenue) compared with $190.4 million (20.8% of revenue) in the prior-year period. The decrease was primarily driven by a reduction in compensation expense of $8.0 million, partially offset by higher cost reduction charges of $5.3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83260"/>
                <wp:effectExtent l="0" t="0" r="0" b="0"/>
                <wp:wrapNone/>
                <wp:docPr id="27" name="Frame2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for the six months ended June 30, 2026 and 2025 was $10.6 million and $11.7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reported an operating loss of $16.7 million compared with an operating profit of $35.4 million for the prior-year period. For the six months ended June 30, 2026, the operating loss included a goodwill impairment of $47.2 million related to the DWS reportable segment (see Note 12 of the Notes to Consolidated Financial Statements for details on the goodwill impairment).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was $36.8 million compared with $16.4 million for the six months ended June 30, 2025. The increase was primarily due to increased long-term debt balance and higher interest rate following the issuance of $700.0 million aggregate principal amount of the 2031 Notes in June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was expense of $49.4 million for the six months ended June 30, 2026, compared with expense of $39.0 million for the six months ended June 30, 2025. The increase in other (expense), net was primarily driven by higher pension and postretirement expense. See Note 6 of the Notes to Consolidated Financial Statements for details of other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loss before income taxes for the six months ended June 30, 2026 was $102.9 million compared with a loss of $20.0 million for the six months ended June 30, 2025. For the six months ended June 30, 2026, the loss before income taxes included a goodwill impairment charge of $47.2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$29.5 million for the six months ended June 30, 2026, compared with a provision of $30.6 million for the six months ended June 30, 2025. The change in the tax provision was driven by the geographic distribution of income. The effective tax rate for the six months ended June 30, 2026 and 2025 was (28.7)% and (153.0)%, respectively, primarily driven by U.S. operating losses with no tax benefit as the deferred tax assets are subject to a full valuation allowance, non-creditable withholding taxes in the U.S., and jurisdictions with no valuation allowance that are subject to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 for the six months ended June 30, 2026 was $131.1 million, or $1.81 per diluted share, compared with a net loss of $49.6 million, or $0.70 per diluted share, for the six months ended June 30, 2025. For the six months ended June 30, 2026, the net loss attributable to Unisys Corporation included a goodwill impairment charge of $47.2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ClearPath and TS&amp;S financial measures:</w:t>
      </w:r>
    </w:p>
    <w:tbl>
      <w:tblPr>
        <w:tblW w:w="10205" w:type="dxa"/>
        <w:jc w:val="left"/>
        <w:tblInd w:w="0" w:type="dxa"/>
        <w:tblLayout w:type="fixed"/>
        <w:tblCellMar>
          <w:top w:w="28" w:type="dxa"/>
          <w:left w:w="28" w:type="dxa"/>
          <w:bottom w:w="28" w:type="dxa"/>
          <w:right w:w="28" w:type="dxa"/>
        </w:tblCellMar>
      </w:tblPr>
      <w:tblGrid>
        <w:gridCol w:w="1610"/>
        <w:gridCol w:w="1418"/>
        <w:gridCol w:w="1422"/>
        <w:gridCol w:w="109"/>
        <w:gridCol w:w="109"/>
        <w:gridCol w:w="109"/>
        <w:gridCol w:w="211"/>
        <w:gridCol w:w="618"/>
        <w:gridCol w:w="271"/>
        <w:gridCol w:w="109"/>
        <w:gridCol w:w="109"/>
        <w:gridCol w:w="109"/>
        <w:gridCol w:w="211"/>
        <w:gridCol w:w="618"/>
        <w:gridCol w:w="271"/>
        <w:gridCol w:w="109"/>
        <w:gridCol w:w="109"/>
        <w:gridCol w:w="109"/>
        <w:gridCol w:w="211"/>
        <w:gridCol w:w="616"/>
        <w:gridCol w:w="271"/>
        <w:gridCol w:w="109"/>
        <w:gridCol w:w="109"/>
        <w:gridCol w:w="109"/>
        <w:gridCol w:w="211"/>
        <w:gridCol w:w="616"/>
        <w:gridCol w:w="322"/>
      </w:tblGrid>
      <w:tr>
        <w:trPr/>
        <w:tc>
          <w:tcPr>
            <w:tcW w:w="161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Digital Workplace Solutions (DWS), which provides workplace solutions featuring intelligent workplace services, proactive experience management and collaboration tools to support business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Cloud, Applications &amp; Infrastructure Solutions (CA&amp;I), which provides digital transformation in the areas of cloud migration and management, applications and infrastructure transformation and modernization solutions;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Enterprise Computing Solutions (ECS), which provides solutions that harness secure, high-intensity enterprise computing and enable digital services through software-defined operating environments.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performance of the segments based on segment revenue and segment gross profit. Segment revenue and segment gross profit are exclusive of certain activities and expenses that are not allocated to specific segments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83260"/>
                <wp:effectExtent l="0" t="0" r="0" b="0"/>
                <wp:wrapNone/>
                <wp:docPr id="28" name="Frame2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business activities related to the company’s United Kingdom business process outsourcing consolidated joint venture and certain expenses such as cost reduction charges, amortization of purchased intangibles and unusual and nonrecurring items that are not allocated to specific segments. These amounts are combined within other revenue and other gross profit (loss) to arrive at consolidated revenue and consolidated gross profit (loss). See Note 17 of the Notes to Consolidated Financial Statements for the reconciliations of segment revenue to total consolidated revenue and segment gross profit to total consolidated loss before income taxes.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compared with the three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operations by segment is presented below:</w:t>
      </w:r>
    </w:p>
    <w:tbl>
      <w:tblPr>
        <w:tblW w:w="10205" w:type="dxa"/>
        <w:jc w:val="left"/>
        <w:tblInd w:w="0" w:type="dxa"/>
        <w:tblLayout w:type="fixed"/>
        <w:tblCellMar>
          <w:top w:w="28" w:type="dxa"/>
          <w:left w:w="28" w:type="dxa"/>
          <w:bottom w:w="28" w:type="dxa"/>
          <w:right w:w="28" w:type="dxa"/>
        </w:tblCellMar>
      </w:tblPr>
      <w:tblGrid>
        <w:gridCol w:w="1581"/>
        <w:gridCol w:w="1393"/>
        <w:gridCol w:w="1396"/>
        <w:gridCol w:w="109"/>
        <w:gridCol w:w="109"/>
        <w:gridCol w:w="109"/>
        <w:gridCol w:w="227"/>
        <w:gridCol w:w="665"/>
        <w:gridCol w:w="292"/>
        <w:gridCol w:w="109"/>
        <w:gridCol w:w="109"/>
        <w:gridCol w:w="109"/>
        <w:gridCol w:w="211"/>
        <w:gridCol w:w="616"/>
        <w:gridCol w:w="271"/>
        <w:gridCol w:w="109"/>
        <w:gridCol w:w="109"/>
        <w:gridCol w:w="109"/>
        <w:gridCol w:w="211"/>
        <w:gridCol w:w="616"/>
        <w:gridCol w:w="271"/>
        <w:gridCol w:w="109"/>
        <w:gridCol w:w="109"/>
        <w:gridCol w:w="109"/>
        <w:gridCol w:w="211"/>
        <w:gridCol w:w="616"/>
        <w:gridCol w:w="320"/>
      </w:tblGrid>
      <w:tr>
        <w:trPr/>
        <w:tc>
          <w:tcPr>
            <w:tcW w:w="158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DWS revenue was $141.9 million for the three months ended June 30, 2026 and $138.1 million for the three months ended June 30, 2025, an increase of 2.8%. Foreign currency fluctuations had a 4 percentage-point positive impact on DWS revenue in the current period compared with the prior-year period. Gross profit percent was 10.8% in the current period compared with 16.9% in the prior-year period. The decrease in gross profit percent was primarily due to known client attrition, a greater proportion of lower-margin hardware revenue, and increased delivery costs incurred during the transition phase of new business implementation.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CA&amp;I revenue was $184.4 million for the three months ended June 30, 2026 and $185.2 million for the three months ended June 30, 2025, a decrease of 0.4%. Foreign currency fluctuations had a 3 percentage-point positive impact on CA&amp;I revenue in the current period compared with the prior-year period. Gross profit percent was 25.0% in the current period compared with 20.8% in the prior-year period. The increase in gross profit percent was primarily driven by delivery improvement and labor cost savings initiatives.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ECS revenue was $126.0 million for the three months ended June 30, 2026 and $140.2 million for the three months ended June 30, 2025, a decrease of 10.1%. Foreign currency fluctuations had a 3 percentage-point positive impact on ECS revenue in the current period compared with the prior-year period. Gross profit percent was 44.8% in the current period compared with 53.5% in the prior-year period. The decreases in revenue and gross profit percent were primarily driven by the timing of ClearPath license renewals.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83260"/>
                <wp:effectExtent l="0" t="0" r="0" b="0"/>
                <wp:wrapNone/>
                <wp:docPr id="29" name="Frame2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Six months ended June 30, 2026 compared with the six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operations by segment is presented below:</w:t>
      </w:r>
    </w:p>
    <w:tbl>
      <w:tblPr>
        <w:tblW w:w="10205" w:type="dxa"/>
        <w:jc w:val="left"/>
        <w:tblInd w:w="0" w:type="dxa"/>
        <w:tblLayout w:type="fixed"/>
        <w:tblCellMar>
          <w:top w:w="28" w:type="dxa"/>
          <w:left w:w="28" w:type="dxa"/>
          <w:bottom w:w="28" w:type="dxa"/>
          <w:right w:w="28" w:type="dxa"/>
        </w:tblCellMar>
      </w:tblPr>
      <w:tblGrid>
        <w:gridCol w:w="1581"/>
        <w:gridCol w:w="1393"/>
        <w:gridCol w:w="1396"/>
        <w:gridCol w:w="109"/>
        <w:gridCol w:w="109"/>
        <w:gridCol w:w="109"/>
        <w:gridCol w:w="227"/>
        <w:gridCol w:w="665"/>
        <w:gridCol w:w="292"/>
        <w:gridCol w:w="109"/>
        <w:gridCol w:w="109"/>
        <w:gridCol w:w="109"/>
        <w:gridCol w:w="211"/>
        <w:gridCol w:w="616"/>
        <w:gridCol w:w="271"/>
        <w:gridCol w:w="109"/>
        <w:gridCol w:w="109"/>
        <w:gridCol w:w="109"/>
        <w:gridCol w:w="211"/>
        <w:gridCol w:w="616"/>
        <w:gridCol w:w="271"/>
        <w:gridCol w:w="109"/>
        <w:gridCol w:w="109"/>
        <w:gridCol w:w="109"/>
        <w:gridCol w:w="211"/>
        <w:gridCol w:w="616"/>
        <w:gridCol w:w="320"/>
      </w:tblGrid>
      <w:tr>
        <w:trPr/>
        <w:tc>
          <w:tcPr>
            <w:tcW w:w="158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3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DWS revenue was $260.1 million for the six months ended June 30, 2026 and $256.7 million for the six months ended June 30, 2025, an increase of 1.3%. Foreign currency fluctuations had a 5 percentage-point positive impact on DWS revenue in the current period compared with the prior-year period. Gross profit percent was 12.0% in the current period compared with 15.7% in the prior-year period. The decrease in gross profit percent was primarily driven by known client attrition and a greater proportion of lower-margin hardware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CA&amp;I revenue was $366.4 million for the six months ended June 30, 2026 and $361.8 million for the six months ended June 30, 2025, an increase of 1.3%. Foreign currency fluctuations had a 4 percentage-point positive impact on CA&amp;I revenue in the current period compared with the prior-year period. Gross profit percent was 23.4% in the current period compared with 20.2% in the prior-year period. The increase in gross profit percent was primarily driven by delivery improvement and labor cost savings initiatives.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ECS revenue was $241.2 million for the six months ended June 30, 2026 and $258.9 million for the six months ended June 30, 2025, a decrease of 6.8%. Foreign currency fluctuations had a 4 percentage-point positive impact on ECS revenue in the current period compared with the prior-year period. Gross profit percent was 45.8% in the current period compared with 50.8% in the prior-year period. The decreases in revenue and gross profit percent were primarily driven by the timing of ClearPath license renewals.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Total Contract Value and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Contract Value (TCV) represents the initial estimated revenue related to contracts signed in the period without regard for early termination or revenue recognition rules. Changes to contracts and scope are treated as TCV only to the extent of the incremental new value. New Business TCV represents TCV attributable to expansion and new scope for existing clients and new logo contracts. ClearPath TCV is driven by software license renewals, and as such, changes in timing or terms of renewals can lead to fluctuations from period to period.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Backlog represents the estimated amount of future revenue to be recognized under contracted work, which has not yet been delivered or performed. The timing of conversion of backlog to revenue may be impacted by, among other factors, the timing of execution, the extension, nullification or early termination of existing contracts with or without penalty, adjustments to estimates in pricing or volumes for previously included contracts, seasonality and foreign currency exchange rates.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TCV metrics.</w:t>
      </w:r>
    </w:p>
    <w:tbl>
      <w:tblPr>
        <w:tblW w:w="10205" w:type="dxa"/>
        <w:jc w:val="left"/>
        <w:tblInd w:w="0" w:type="dxa"/>
        <w:tblLayout w:type="fixed"/>
        <w:tblCellMar>
          <w:top w:w="28" w:type="dxa"/>
          <w:left w:w="28" w:type="dxa"/>
          <w:bottom w:w="28" w:type="dxa"/>
          <w:right w:w="28" w:type="dxa"/>
        </w:tblCellMar>
      </w:tblPr>
      <w:tblGrid>
        <w:gridCol w:w="1021"/>
        <w:gridCol w:w="899"/>
        <w:gridCol w:w="902"/>
        <w:gridCol w:w="109"/>
        <w:gridCol w:w="109"/>
        <w:gridCol w:w="109"/>
        <w:gridCol w:w="245"/>
        <w:gridCol w:w="543"/>
        <w:gridCol w:w="126"/>
        <w:gridCol w:w="126"/>
        <w:gridCol w:w="126"/>
        <w:gridCol w:w="126"/>
        <w:gridCol w:w="245"/>
        <w:gridCol w:w="543"/>
        <w:gridCol w:w="126"/>
        <w:gridCol w:w="109"/>
        <w:gridCol w:w="109"/>
        <w:gridCol w:w="109"/>
        <w:gridCol w:w="213"/>
        <w:gridCol w:w="213"/>
        <w:gridCol w:w="526"/>
        <w:gridCol w:w="109"/>
        <w:gridCol w:w="109"/>
        <w:gridCol w:w="109"/>
        <w:gridCol w:w="211"/>
        <w:gridCol w:w="466"/>
        <w:gridCol w:w="109"/>
        <w:gridCol w:w="109"/>
        <w:gridCol w:w="109"/>
        <w:gridCol w:w="109"/>
        <w:gridCol w:w="211"/>
        <w:gridCol w:w="466"/>
        <w:gridCol w:w="109"/>
        <w:gridCol w:w="109"/>
        <w:gridCol w:w="109"/>
        <w:gridCol w:w="109"/>
        <w:gridCol w:w="209"/>
        <w:gridCol w:w="209"/>
        <w:gridCol w:w="600"/>
      </w:tblGrid>
      <w:tr>
        <w:trPr/>
        <w:tc>
          <w:tcPr>
            <w:tcW w:w="10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New Business </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Renewals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pPr>
      <w:r>
        <w:rPr>
          <w:rFonts w:ascii="Times New Roman;serif" w:hAnsi="Times New Roman;serif"/>
          <w:b w:val="false"/>
          <w:color w:val="000000"/>
          <w:sz w:val="13"/>
        </w:rPr>
        <w:t xml:space="preserve">(i) </w:t>
      </w:r>
      <w:r>
        <w:rPr>
          <w:rFonts w:ascii="Times New Roman;serif" w:hAnsi="Times New Roman;serif"/>
          <w:b w:val="false"/>
          <w:color w:val="000000"/>
          <w:sz w:val="20"/>
        </w:rPr>
        <w:t>New Business relates to expansion and new scope for existing clients and new logo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83260"/>
                <wp:effectExtent l="0" t="0" r="0" b="0"/>
                <wp:wrapNone/>
                <wp:docPr id="30" name="Frame3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Backlog was $2.82 billion as of June 30, 2026 compared to $2.92 billion as of June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actual revenue reflects the most relevant measure necessary to understand the company’s results of operations, but TCV can be a useful leading indicator of the company’s ability to generate future revenue over time and backlog can be a useful metric and indicator of the company’s estimate of contracted revenue to be realized in the future, in each case subject to certain inherent limitations as explained above. TCV and backlog should not be relied upon as substitutes for, or considered in isolation from, measures in accordance with generally accepted accounting principles in the United States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for at least the next twelve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June 30, 2026 were $324.3 million compared to $413.9 million at December 31, 2025. The decrease in cash and cash equivalents is primarily due to the timing of cash interest payments associated with the 2031 Notes and pension and postretirement cash contributions.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$197.6 million of cash and cash equivalents were held by the company’s foreign subsidiaries and branches operating outside of the U.S. The company may not be able to readily transfer approximately one-third of these funds out of the country in which they are located as a result of local restrictions, contractual or other legal arrangements or commercial considerations. At June 30, 2026, the deferred tax liability on undistributed earnings was $31.5 million. Transfers of international cash and cash equivalents to the U.S. will require the company to pay withholding or other taxes on a portion of the amount transferred. At June 30, 2026, the company maintained cash balances in various operating accounts in excess of federally insured limits. The company monitors this risk by evaluating the creditworthiness of the financial institutions.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for operations was $30.7 million compared to cash used for operations of $282.9 million during the six months ended June 30, 2025. The improvement was primarily attributable to a discretionary cash contribution of $250 million to the company’s U.S. defined benefit pension plans in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for investing activities was $44.2 million compared with cash used for investing activities of $10.0 million during the six months ended June 30, 2025. In the current period, the investment in marketable software was $21.1 million compared with $23.6 million in the prior-year period and capital additions of properties and other assets were $22.7 million compared with $16.8 million in the prior-year period. During the six months ended June 30, 2025, net proceeds of foreign exchange forward contracts were $30.5 million. Proceeds from foreign exchange forward contracts and purchases of foreign exchange forward contracts represent derivative financial instruments used to reduce the company’s currency exposure to market risks from changes in foreign currency exchange rates. During the third quarter of 2025, the company ceased its use of foreign currency forward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for financing activities was $14.6 million compared with cash provided by financing activities of $190.3 million during the six months ended June 30, 2025. During the six months ended June 30, 2025, cash provided by financing activities included the net proceeds received from the issuance of the 2031 Notes, partially offset by the repurchase of the 2027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total debt was $733.5 million compared to $741.7 million at December 31, 2025. During the six months ended June 30, 2026, the company repurchased $1.6 million of the 2031 Notes from the open market for $1.4 million.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Asset Based Lending (ABL) Credit Facility</w:t>
      </w:r>
    </w:p>
    <w:p>
      <w:pPr>
        <w:pStyle w:val="TextBody"/>
        <w:bidi w:val="0"/>
        <w:spacing w:lineRule="auto" w:line="288" w:before="100" w:after="283"/>
        <w:jc w:val="left"/>
        <w:rPr/>
      </w:pPr>
      <w:r>
        <w:rPr>
          <w:rFonts w:ascii="Times New Roman;serif" w:hAnsi="Times New Roman;serif"/>
          <w:b w:val="false"/>
          <w:color w:val="000000"/>
          <w:sz w:val="20"/>
        </w:rPr>
        <w:t>The company has a secured revolving credit facility (the Amended and Restated ABL Credit Facility), which matures in June 2030. The Amended and Restated ABL Credit Facility provides for revolving loans and letters of credit up to an aggregate amount of $125.0 million (with a limit on letters of credit of $40.0 million), with an uncommitted accordion feature provision allowing for the aggregate amount available to be increased up to $155.0 million upon the satisfaction of certain specified conditions.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Amended and Restated ABL Credit Facility is subject to a borrowing base calculated by reference to the company’s receivables. At June 30, 2026, the company had no borrowings and $6.1 million of letters of credit outstanding. Availability under the Amended and Restated ABL Credit Facility was $99.7 million, net of letters of credit issued. Any borrowings under the Amended and Restated ABL Credit Facility will be subject to variable interest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has met all covenants and conditions under its various lending and funding agreements. For at least the next 12 months, the company expects to continue to meet these covenants and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83260"/>
                <wp:effectExtent l="0" t="0" r="0" b="0"/>
                <wp:wrapNone/>
                <wp:docPr id="31" name="Frame3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Pension and Postretirement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end of each year, the company estimates its future cash contributions to its global defined benefit pension plans based on year-end pension data, assumptions and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made cash contributions totaling $57.4 million to its global defined benefit pension plans. For the remainder of 2026, the company expects to make cash contributions of approximately $40 million, resulting in total expected 2026 cash contributions of approximately $97 million to the company’s global defined benefit pension plans. These contributions are expected to include approximately $47 million to the company’s U.S. qualified defined benefit pension plans and approximately $50 million, primarily to the company’s international defined benefit pension plans. Based on current funding requirements and assumptions, the company estimates future total cash contributions of approximately $104 million in 2027 to its global defined benefit pension plans. Actual future contributions may differ based on changes in regulatory requirements, interest rates, asset performance and other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made cash contributions of $287.2 million, including a discretionary contribution of $250 million to its U.S. defined benefit pension plans.</w:t>
      </w:r>
    </w:p>
    <w:p>
      <w:pPr>
        <w:pStyle w:val="TextBody"/>
        <w:bidi w:val="0"/>
        <w:spacing w:lineRule="auto" w:line="288" w:before="120" w:after="160"/>
        <w:jc w:val="left"/>
        <w:rPr>
          <w:rFonts w:ascii="Times New Roman;serif" w:hAnsi="Times New Roman;serif"/>
          <w:b w:val="false"/>
          <w:color w:val="000000"/>
          <w:sz w:val="20"/>
        </w:rPr>
      </w:pPr>
      <w:r>
        <w:rPr>
          <w:rFonts w:ascii="Times New Roman;serif" w:hAnsi="Times New Roman;serif"/>
          <w:b w:val="false"/>
          <w:color w:val="000000"/>
          <w:sz w:val="20"/>
        </w:rPr>
        <w:t>If the company is not able to generate sufficient cash flows from operations, it may need to obtain additional funding in order to make these contributions. Any material deterioration in the value of the company’s global defined benefit pension plan assets, as well as changes in pension legislation, volatility in the capital markets, discount rate changes, asset return changes, or changes in economic or demographic trends, could require the company to make cash contributions in different amounts and on a different schedule than previously estimated.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explore a variety of additional debt and equity sources to fund its liquidity and capital needs.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from time to time, redeem, tender for, or repurchase its securities in the open market or in privately negotiated transactions depending upon availability, market conditions and other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arrangements that are material or reasonably likely to become material to its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20"/>
        <w:jc w:val="both"/>
        <w:rPr>
          <w:rFonts w:ascii="Times New Roman;serif" w:hAnsi="Times New Roman;serif"/>
          <w:b/>
          <w:color w:val="000000"/>
          <w:sz w:val="24"/>
        </w:rPr>
      </w:pPr>
      <w:r>
        <w:rPr>
          <w:rFonts w:ascii="Times New Roman;serif" w:hAnsi="Times New Roman;serif"/>
          <w:b/>
          <w:color w:val="000000"/>
          <w:sz w:val="24"/>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critical accounting policies and estimates as reported in its Annual Report on Form 10-K for the year ended December 31, 2025, except as follows.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in the fourth quarter using data as of September 30 of that year, as well as whenever there are events or changes in circumstances (triggering events), which indicate that the carrying amount may not be recoverable.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after completing the qualitative assessment, the company determines it is more likely than not that the fair value of a reporting unit is less than its carrying amount, then the company proceeds to perform a subsequent quantitative goodwill impairment test. Alternatively, the company may elect to bypass the qualitative assessment and perform the quantitative impairment test. The quantitative goodwill impairment test compares each reporting unit’s fair value to its carrying value. If the reporting unit’s fair value exceeds its carrying value, no further procedures are required. However, if a reporting unit’s fair value is less than its carrying value, then an impairment charge is recorded in the amount of the excess.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When the company performs the quantitative goodwill impairment test for a reporting unit, it estimates the fair value of the reporting unit using both the income approach and the market approach. The methodology used to determine the fair values using the income and market approaches, as described below, are weighted to determine the fair value for each reporting unit.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approach is a forward-looking approach to estimating fair value and relies primarily on internal forecasts. Within the income approach, the discounted cash flow method is used. The company starts with a forecast of all expected net cash flows associated with the reporting unit, which includes the application of a terminal value, and then a reporting unit-specific discount rate is applied to arrive at a net present value amount. Some of the more significant estimates and assumptions inherent in this approach include the amount and timing of projected net cash flows, long-term growth rate and the discount rate. Cash flow projections are based on management’s estimates of economic and market conditions, which drive key assumptions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83260"/>
                <wp:effectExtent l="0" t="0" r="0" b="0"/>
                <wp:wrapNone/>
                <wp:docPr id="32" name="Frame3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growth rates and operating margins. The discount rate, in turn, is based on various market factors and specific risk characteristics of each reporting unit.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 approach relies primarily on external information for estimating the fair value. Some of the more significant estimates and assumptions inherent in this approach include the selection of appropriate guideline companies and the selected performance metric used in this approach.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Estimating the fair value of reporting units requires the use of estimates and significant judgments about key assumptions. There are a number of factors, including potential events and changes in circumstances that could change in future periods, including: projected operating results; valuation multiples exhibited by the company and by companies considered comparable to the reporting units; and other macro-economic factors that could impact the discount rate. It is reasonably possible that the judgments and estimates described above could change in future periods, which could have a significant impact on the fair value of the related reporting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reviewed its estimated long-term expected future cash flows for its DWS reporting unit. DWS projected gross profit was below the previous estimated forecast primarily due to continued competitive pressure resulting from industry and macro-economic conditions. Based on this, the company concluded that a triggering event existed and conducted a quantitative goodwill assessment for the DWS reporting unit as of June 30, 2026. The fair value of the DWS reporting unit was estimated using a combination of discounted cash flows and market-based valuation methodologies as noted above. Based on the goodwill impairment analysis performed during the second quarter of 2026, the carrying value of the DWS reporting unit exceeded its respective fair value, resulting in the recognition of a goodwill impairment charge of $47.2 million. The impairment charge represented the entire remaining goodwill balance allocated to the DWS reporting unit, resulting in a full write-off of the reporting unit's goodwill.</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annual impairment analysis performed during the fourth quarter of 2025, the CA&amp;I reporting unit had a 20% excess of fair value over book value, including goodwill.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Although the goodwill associated with the DWS reporting unit was fully impaired as of June 30, 2026, it is possible that future changes in such circumstances or in the inputs and assumptions used in estimating the fair value of the company’s other reporting units could require the company to record an additional non-cash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83260"/>
                <wp:effectExtent l="0" t="0" r="0" b="0"/>
                <wp:wrapNone/>
                <wp:docPr id="33" name="Frame3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assessment of its sensitivity to market risk since its disclosure in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as amended (the Exchange Act).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June 30, 2026, the company’s disclosure controls and procedures were effective to provide reasonable assurance that information required to be disclosed in our Exchange Act reports is recorded, processed, summarized and reported within the time periods specified by the U.S. Securities and Exchange Commission (SEC), and that such information is accumulated and communicated to management, including the CEO and CFO, as appropriate, to allow timely decisions regarding required disclosure.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83260"/>
                <wp:effectExtent l="0" t="0" r="0" b="0"/>
                <wp:wrapNone/>
                <wp:docPr id="34" name="Frame3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32"/>
        </w:rPr>
      </w:pPr>
      <w:r>
        <w:rPr>
          <w:rFonts w:ascii="Times New Roman;serif" w:hAnsi="Times New Roman;serif"/>
          <w:b/>
          <w:color w:val="000000"/>
          <w:sz w:val="3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Item 1. Legal Proceedings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Information with respect to legal proceedings is set forth in Note 14 of the Notes to Consolidated Financial Statements,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in Part I, Item 1A of the company’s Annual Report on Form 10-K for the year ended December 31, 2025, except as follows: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Impairment of goodwill has negatively impacted our results of operations. If our goodwill or intangible assets are further or fully impaired in the future, our results of operations will be negatively impacted further.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an annual basis, and whenever circumstances arise, we review goodwill and intangible assets for impairment. The impairment test is based on several factors, estimates and assumptions, including macroeconomic conditions, industry and market considerations, overall financial performance, market capitalization and relevant entity-specific events. Significant changes to these factors could impact the assumptions used in calculating the fair value of goodwill or intangible assets and may indicate potential impairment. As described in Note 12 of the Notes to Consolidated Financial Statements in Part I, Item 1 of this Quarterly Report on Form 10-Q, during the quarter ended June 30, 2026, we determined that a triggering event had occurred and therefore performed a quantitative goodwill impairment test for the Digital Workplace Solutions (DWS) reporting unit. As a result, we recorded a goodwill impairment charge of $47.2 million for the three and six months ended June 30, 2026. The impairment charge represented the entire remaining goodwill balance allocated to the DWS reporting unit, resulting in a full write-off of the reporting unit's goodwill. Additionally, during both the three and six months ended June 30, 2026, the company recorded an impairment charge of $1.5 million related to a customer relationship intangible asset. The impairment was triggered by revised expectations regarding future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will continue to conduct an impairment analysis of our goodwill and intangible assets on an annual basis, as well as whenever there are events or changes in circumstances (triggering events), which indicate that the carrying amount may not be recoverable. We could be required to record additional impairment charges in the future if any recoverability assessments indicate that the carrying values of our goodwill or intangibles assets exceed their estimated fair values that or are otherwise not recoverable. Further impairments of our goodwill or intangible assets would adversely affect our results of operations.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Although the goodwill associated with the DWS reporting unit was fully impaired as of June 30, 2026, it is possible that future changes in circumstances or in the inputs and assumptions used in estimating the fair value of the company’s other reporting units could require the company to record an additional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Securities Exchange Act of 1934, as amended) adopted or terminated a Rule 10b5-1 trading arrangement or non-Rule 10b5-1 trading arrangement (as such terms are defined in Item 408(a) of Regulation S-K of the Securities Act of 1933, as amended).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Amendment to Deferred Compensation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Given the timing of the following event, the following information is included in this Quarterly Report on Form 10-Q pursuant to Item 5.02 of Form 8-K, “Departure of Directors or Certain Officers, Election of Directors; Appointment of Certain Officers; Compensation Arrangements of Certain Officers” in lieu of filing a Form 8-K.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24, 2026, the Company’s Board of Directors (the Board) approved an amendment to the Unisys Corporation 2005 Deferred Compensation Plan, as amended and restated effective September 19, 2014 except as otherwise noted therein (the Deferred Compensation Plan). The Board approved the freeze date for the Deferred Compensation Plan as of January 1, 2027 (the Freeze Date). Effective as of the Freeze Date, (a) no individual who is not already participating in the Deferred Compensation Plan may become a participant; (b) no new deferral elections may be made under the Deferred Compensation Plan with respect to compensation earned for periods beginning on or after the Freeze Date; and (c) no company contributions, matching contributions or other credits will be made under the Deferred Compensation Plan with respect to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83260"/>
                <wp:effectExtent l="0" t="0" r="0" b="0"/>
                <wp:wrapNone/>
                <wp:docPr id="35" name="Frame3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earned for periods beginning on or after the Freeze Date, except as otherwise required by the terms of the Deferred Compensation Plan or applicable law. Amounts credited to participants’ accounts before the Freeze Date will remain subject to the terms of the Deferred Compensation Plan (as amended). The foregoing summary of the amendment to the Deferred Compensation Plan does not purport to be complete and is qualified in its entirety by reference to the amendment, a copy of which is filed as Exhibit 10.2 to this Quarterly Report on Form 10-Q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8"/>
        </w:rPr>
        <w:t>Item 6. Exhibits</w:t>
      </w:r>
      <w:r>
        <w:rPr>
          <w:color w:val="000000"/>
        </w:rPr>
        <w:t>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83260"/>
                <wp:effectExtent l="0" t="0" r="0" b="0"/>
                <wp:wrapNone/>
                <wp:docPr id="36" name="Frame3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0"/>
        <w:gridCol w:w="299"/>
        <w:gridCol w:w="300"/>
        <w:gridCol w:w="2755"/>
        <w:gridCol w:w="2683"/>
        <w:gridCol w:w="3828"/>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9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"https://www.sec.gov/ix?doc=/Archives/edgar/data/0000746838/000130817926000082/uis-20260316.htm" \l "iafcc148abe124597b4c4448a8662b999_205"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to the Unisys Corporation 2024 Long-Term Incentive and Equity Compensation Plan (incorporated by reference to Appendix B to the registrant’s Definitive Proxy Statement on Schedule 14A filed March 16, 2026)</w:t>
            </w:r>
            <w:r>
              <w:rPr>
                <w:rStyle w:val="InternetLink"/>
                <w:sz w:val="20"/>
                <w:u w:val="single"/>
                <w:b w:val="false"/>
                <w:rFonts w:ascii="Times New Roman;serif" w:hAnsi="Times New Roman;serif"/>
                <w:color w:val="0000FF"/>
              </w:rPr>
              <w:fldChar w:fldCharType="end"/>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102.htm">
              <w:r>
                <w:rPr>
                  <w:rStyle w:val="InternetLink"/>
                  <w:rFonts w:ascii="Times New Roman;serif" w:hAnsi="Times New Roman;serif"/>
                  <w:b w:val="false"/>
                  <w:color w:val="000080"/>
                  <w:sz w:val="20"/>
                  <w:u w:val="single"/>
                </w:rPr>
                <w:t>Amendment</w:t>
              </w:r>
            </w:hyperlink>
            <w:hyperlink w:anchor="q22026-ex102.htm">
              <w:r>
                <w:rPr>
                  <w:rStyle w:val="InternetLink"/>
                  <w:rFonts w:ascii="Times New Roman;serif" w:hAnsi="Times New Roman;serif"/>
                  <w:b w:val="false"/>
                  <w:color w:val="000080"/>
                  <w:sz w:val="20"/>
                  <w:u w:val="single"/>
                </w:rPr>
                <w:t>, dated July 28, 2</w:t>
              </w:r>
            </w:hyperlink>
            <w:hyperlink w:anchor="q22026-ex102.htm">
              <w:r>
                <w:rPr>
                  <w:rStyle w:val="InternetLink"/>
                  <w:rFonts w:ascii="Times New Roman;serif" w:hAnsi="Times New Roman;serif"/>
                  <w:b w:val="false"/>
                  <w:color w:val="000080"/>
                  <w:sz w:val="20"/>
                  <w:u w:val="single"/>
                </w:rPr>
                <w:t>026,</w:t>
              </w:r>
            </w:hyperlink>
            <w:hyperlink w:anchor="q22026-ex102.htm">
              <w:r>
                <w:rPr>
                  <w:rStyle w:val="InternetLink"/>
                  <w:rFonts w:ascii="Times New Roman;serif" w:hAnsi="Times New Roman;serif"/>
                  <w:b w:val="false"/>
                  <w:color w:val="000080"/>
                  <w:sz w:val="20"/>
                  <w:u w:val="single"/>
                </w:rPr>
                <w:t xml:space="preserve"> to the Unisys Corporation 2005 Deferred Compensation Plan, as amended and restated effective September 19, 2014 except as otherwise noted therein</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1.htm">
              <w:r>
                <w:rPr>
                  <w:rStyle w:val="InternetLink"/>
                  <w:rFonts w:ascii="Times New Roman;serif" w:hAnsi="Times New Roman;serif"/>
                  <w:b w:val="false"/>
                  <w:color w:val="0000FF"/>
                  <w:sz w:val="20"/>
                  <w:u w:val="single"/>
                </w:rPr>
                <w:t>Certification of Michael M. Thomson, Chief Executive Officer, pursuant to Rule 13a-14(a) or Rule 15d-14(a) of the Securities Exchange Act of 1934, as amended</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2.htm">
              <w:r>
                <w:rPr>
                  <w:rStyle w:val="InternetLink"/>
                  <w:rFonts w:ascii="Times New Roman;serif" w:hAnsi="Times New Roman;serif"/>
                  <w:b w:val="false"/>
                  <w:color w:val="0000FF"/>
                  <w:sz w:val="20"/>
                  <w:u w:val="single"/>
                </w:rPr>
                <w:t>Certification of Debra McCann, Chief Financial Officer, pursuant to Rule 13a-14(a) or Rule 15d-14(a) of the Securities Exchange Act of 1934, as amended</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21.htm">
              <w:r>
                <w:rPr>
                  <w:rStyle w:val="InternetLink"/>
                  <w:rFonts w:ascii="Times New Roman;serif" w:hAnsi="Times New Roman;serif"/>
                  <w:b w:val="false"/>
                  <w:color w:val="0000FF"/>
                  <w:sz w:val="20"/>
                  <w:u w:val="single"/>
                </w:rPr>
                <w:t>Certification of Michael M. Thomson, Chief Executive Officer, pursuant to Rule 13a-14(b) or Rule 15d-14(b) of the Securities Exchange Act of 1934, as amended, and Section 906 of the Sarbanes-Oxley Act of 2002, 18 U.S.C. Section 1350</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22.htm">
              <w:r>
                <w:rPr>
                  <w:rStyle w:val="InternetLink"/>
                  <w:rFonts w:ascii="Times New Roman;serif" w:hAnsi="Times New Roman;serif"/>
                  <w:b w:val="false"/>
                  <w:color w:val="0000FF"/>
                  <w:sz w:val="20"/>
                  <w:u w:val="single"/>
                </w:rPr>
                <w:t>Certification of Debra McCann, Chief Financial Officer, pursuant to Rule 13a-14(b) or Rule 15d-14(b) of the Securities Exchange Act of 1934, as amended, and Section 906 of the Sarbanes-Oxley Act of 2002, 18 U.S.C. Section 1350</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Unisys Corporation’s Quarterly Report on Form 10-Q for the quarter ended June 30, 2026 formatted in Inline XBRL (Extensible Business Reporting Language) includes: (i) the Consolidated Statements of Income (Loss), (ii) the Consolidated Statements of Comprehensive Income (Loss), (iii) the Consolidated Balance Sheets, (iv) the Consolidated Statements of Cash Flows, (v) the Consolidated Statements of Equity (Deficit), and (vi) Notes to Consolidated Financial Statements</w:t>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7355"/>
                <wp:effectExtent l="0" t="0" r="0" b="0"/>
                <wp:wrapNone/>
                <wp:docPr id="37" name="Frame37"/>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7193" w:type="dxa"/>
        <w:jc w:val="left"/>
        <w:tblInd w:w="0" w:type="dxa"/>
        <w:tblLayout w:type="fixed"/>
        <w:tblCellMar>
          <w:top w:w="28" w:type="dxa"/>
          <w:left w:w="28" w:type="dxa"/>
          <w:bottom w:w="28" w:type="dxa"/>
          <w:right w:w="28" w:type="dxa"/>
        </w:tblCellMar>
      </w:tblPr>
      <w:tblGrid>
        <w:gridCol w:w="618"/>
        <w:gridCol w:w="544"/>
        <w:gridCol w:w="547"/>
        <w:gridCol w:w="348"/>
        <w:gridCol w:w="348"/>
        <w:gridCol w:w="348"/>
        <w:gridCol w:w="1297"/>
        <w:gridCol w:w="1297"/>
        <w:gridCol w:w="184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UNISYS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283"/>
        <w:jc w:val="left"/>
        <w:rPr/>
      </w:pPr>
      <w:r>
        <w:rPr/>
      </w:r>
    </w:p>
    <w:tbl>
      <w:tblPr>
        <w:tblW w:w="629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623"/>
        <w:gridCol w:w="1623"/>
        <w:gridCol w:w="2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Corporate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83260"/>
                <wp:effectExtent l="0" t="0" r="0" b="0"/>
                <wp:wrapNone/>
                <wp:docPr id="38" name="Frame3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2026-1 TO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2005 DEFERRED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 FREEZE AMENDMENT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28, 2026</w:t>
      </w:r>
    </w:p>
    <w:p>
      <w:pPr>
        <w:pStyle w:val="TextBody"/>
        <w:bidi w:val="0"/>
        <w:spacing w:before="0" w:after="160"/>
        <w:jc w:val="left"/>
        <w:rPr/>
      </w:pPr>
      <w:r>
        <w:rPr/>
      </w:r>
    </w:p>
    <w:p>
      <w:pPr>
        <w:pStyle w:val="TextBody"/>
        <w:bidi w:val="0"/>
        <w:spacing w:lineRule="auto" w:line="319" w:before="0" w:after="160"/>
        <w:jc w:val="left"/>
        <w:rPr/>
      </w:pPr>
      <w:r>
        <w:rPr>
          <w:color w:val="000000"/>
        </w:rPr>
        <w:t>    </w:t>
      </w:r>
      <w:r>
        <w:rPr>
          <w:rFonts w:ascii="Times New Roman;serif" w:hAnsi="Times New Roman;serif"/>
          <w:b/>
          <w:color w:val="000000"/>
          <w:sz w:val="20"/>
        </w:rPr>
        <w:t>WHEREAS</w:t>
      </w:r>
      <w:r>
        <w:rPr>
          <w:rFonts w:ascii="Times New Roman;serif" w:hAnsi="Times New Roman;serif"/>
          <w:b w:val="false"/>
          <w:color w:val="000000"/>
          <w:sz w:val="20"/>
        </w:rPr>
        <w:t>, Unisys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maintains the Unisys Corporation 2005 Deferred Compensation Plan, as amended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for the benefit of certain eligible employees of the Company;</w:t>
      </w:r>
    </w:p>
    <w:p>
      <w:pPr>
        <w:pStyle w:val="TextBody"/>
        <w:bidi w:val="0"/>
        <w:spacing w:lineRule="auto" w:line="319" w:before="0" w:after="160"/>
        <w:jc w:val="left"/>
        <w:rPr/>
      </w:pPr>
      <w:r>
        <w:rPr>
          <w:color w:val="000000"/>
        </w:rPr>
        <w:t>    </w:t>
      </w:r>
      <w:r>
        <w:rPr>
          <w:rFonts w:ascii="Times New Roman;serif" w:hAnsi="Times New Roman;serif"/>
          <w:b/>
          <w:color w:val="000000"/>
          <w:sz w:val="20"/>
        </w:rPr>
        <w:t>WHEREAS</w:t>
      </w:r>
      <w:r>
        <w:rPr>
          <w:rFonts w:ascii="Times New Roman;serif" w:hAnsi="Times New Roman;serif"/>
          <w:b w:val="false"/>
          <w:color w:val="000000"/>
          <w:sz w:val="20"/>
        </w:rPr>
        <w:t>, the Board of Directors of the Company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reviewed a recommendation from the Compensation and Human Resources Committee of the Board that the Plan be frozen, with respect to future participation and deferral elections;</w:t>
      </w:r>
    </w:p>
    <w:p>
      <w:pPr>
        <w:pStyle w:val="TextBody"/>
        <w:bidi w:val="0"/>
        <w:spacing w:lineRule="auto" w:line="319" w:before="0" w:after="160"/>
        <w:ind w:left="0" w:right="0" w:firstLine="720"/>
        <w:jc w:val="left"/>
        <w:rPr/>
      </w:pPr>
      <w:r>
        <w:rPr>
          <w:rFonts w:ascii="Times New Roman;serif" w:hAnsi="Times New Roman;serif"/>
          <w:b/>
          <w:color w:val="000000"/>
          <w:sz w:val="20"/>
        </w:rPr>
        <w:t>WHEREAS</w:t>
      </w:r>
      <w:r>
        <w:rPr>
          <w:rFonts w:ascii="Times New Roman;serif" w:hAnsi="Times New Roman;serif"/>
          <w:b w:val="false"/>
          <w:color w:val="000000"/>
          <w:sz w:val="20"/>
        </w:rPr>
        <w:t xml:space="preserve">, pursuant to resolutions adopted by the Board on July 24, 2026, the Board has approved amendments to the Plan that the Plan be amended to freeze future participation and the making of new deferral elections and Company contributions under the Plan with respect to compensation earned for periods beginning on or after January 1, 2027, subject to the continued administration of valid deferral elections made with respect to compensation earned before January 1, 2027, in accordance with the terms of the Plan (i.e., the freeze shall not affect the deferral of incentive compensation earned with respect to the 2026 performance year, to the extent made pursuant to a valid and timely deferral election under the Plan); </w:t>
      </w:r>
    </w:p>
    <w:p>
      <w:pPr>
        <w:pStyle w:val="TextBody"/>
        <w:bidi w:val="0"/>
        <w:spacing w:lineRule="auto" w:line="319" w:before="0" w:after="160"/>
        <w:ind w:left="0" w:right="0" w:firstLine="720"/>
        <w:jc w:val="left"/>
        <w:rPr/>
      </w:pPr>
      <w:r>
        <w:rPr>
          <w:rFonts w:ascii="Times New Roman;serif" w:hAnsi="Times New Roman;serif"/>
          <w:b/>
          <w:color w:val="000000"/>
          <w:sz w:val="20"/>
        </w:rPr>
        <w:t>WHEREAS</w:t>
      </w:r>
      <w:r>
        <w:rPr>
          <w:rFonts w:ascii="Times New Roman;serif" w:hAnsi="Times New Roman;serif"/>
          <w:b w:val="false"/>
          <w:color w:val="000000"/>
          <w:sz w:val="20"/>
        </w:rPr>
        <w:t>, pursuant to Section 8.1 of the Plan, the Board may modify or amend, in whole or in part, any or all of the provisions of the Plan, or suspend or terminate the Plan in its entirety, subject to certain limitations set forth in the Plan; and</w:t>
      </w:r>
    </w:p>
    <w:p>
      <w:pPr>
        <w:pStyle w:val="TextBody"/>
        <w:bidi w:val="0"/>
        <w:spacing w:lineRule="auto" w:line="319" w:before="0" w:after="160"/>
        <w:ind w:left="0" w:right="0" w:firstLine="720"/>
        <w:jc w:val="left"/>
        <w:rPr/>
      </w:pPr>
      <w:r>
        <w:rPr>
          <w:rFonts w:ascii="Times New Roman;serif" w:hAnsi="Times New Roman;serif"/>
          <w:b/>
          <w:color w:val="000000"/>
          <w:sz w:val="20"/>
        </w:rPr>
        <w:t>WHEREAS</w:t>
      </w:r>
      <w:r>
        <w:rPr>
          <w:rFonts w:ascii="Times New Roman;serif" w:hAnsi="Times New Roman;serif"/>
          <w:b w:val="false"/>
          <w:color w:val="000000"/>
          <w:sz w:val="20"/>
        </w:rPr>
        <w:t xml:space="preserve">, the Board has authorized and directed that an appropriate officer of the Company has the authority to prepare, execute and implement any amendments to the Plan necessary or appropriate to effectuate the intent of the resolutions adopted by the Board on July 24, 2026 relating to the freeze of the Plan. </w:t>
      </w:r>
    </w:p>
    <w:p>
      <w:pPr>
        <w:pStyle w:val="TextBody"/>
        <w:bidi w:val="0"/>
        <w:spacing w:lineRule="auto" w:line="319" w:before="0" w:after="160"/>
        <w:jc w:val="left"/>
        <w:rPr/>
      </w:pPr>
      <w:r>
        <w:rPr>
          <w:color w:val="000000"/>
        </w:rPr>
        <w:t>    </w:t>
      </w:r>
      <w:r>
        <w:rPr>
          <w:rFonts w:ascii="Times New Roman;serif" w:hAnsi="Times New Roman;serif"/>
          <w:b/>
          <w:color w:val="000000"/>
          <w:sz w:val="20"/>
        </w:rPr>
        <w:t>NOW, THEREFORE, BE IT RESOLVED</w:t>
      </w:r>
      <w:r>
        <w:rPr>
          <w:rFonts w:ascii="Times New Roman;serif" w:hAnsi="Times New Roman;serif"/>
          <w:b w:val="false"/>
          <w:color w:val="000000"/>
          <w:sz w:val="20"/>
        </w:rPr>
        <w:t>, that the Plan is hereby amended as follows, effective as of January 1, 2027:</w:t>
      </w:r>
    </w:p>
    <w:p>
      <w:pPr>
        <w:pStyle w:val="TextBody"/>
        <w:bidi w:val="0"/>
        <w:spacing w:lineRule="auto" w:line="319"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 new Article I-A shall be added to the Plan immediately following Article I of the Plan to provide as follows:</w:t>
      </w:r>
    </w:p>
    <w:p>
      <w:pPr>
        <w:pStyle w:val="TextBody"/>
        <w:bidi w:val="0"/>
        <w:spacing w:lineRule="auto" w:line="319" w:before="0" w:after="0"/>
        <w:jc w:val="center"/>
        <w:rPr/>
      </w:pPr>
      <w:r>
        <w:rPr>
          <w:color w:val="000000"/>
        </w:rPr>
        <w:t>“</w:t>
      </w:r>
      <w:r>
        <w:rPr>
          <w:rFonts w:ascii="Times New Roman;serif" w:hAnsi="Times New Roman;serif"/>
          <w:b/>
          <w:color w:val="000000"/>
          <w:sz w:val="20"/>
        </w:rPr>
        <w:t>ARTICLE I-A</w:t>
      </w:r>
    </w:p>
    <w:p>
      <w:pPr>
        <w:pStyle w:val="TextBody"/>
        <w:bidi w:val="0"/>
        <w:spacing w:lineRule="auto" w:line="319"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PLAN FREEZE</w:t>
      </w:r>
    </w:p>
    <w:p>
      <w:pPr>
        <w:pStyle w:val="TextBody"/>
        <w:bidi w:val="0"/>
        <w:spacing w:lineRule="auto" w:line="319" w:before="0" w:after="0"/>
        <w:jc w:val="left"/>
        <w:rPr>
          <w:color w:val="000000"/>
        </w:rPr>
      </w:pPr>
      <w:r>
        <w:rPr>
          <w:color w:val="000000"/>
        </w:rPr>
        <w:t>    </w:t>
      </w:r>
    </w:p>
    <w:p>
      <w:pPr>
        <w:pStyle w:val="TextBody"/>
        <w:bidi w:val="0"/>
        <w:spacing w:lineRule="auto" w:line="319"/>
        <w:ind w:left="0" w:right="0" w:hanging="720"/>
        <w:jc w:val="left"/>
        <w:rPr/>
      </w:pPr>
      <w:r>
        <w:rPr>
          <w:rFonts w:ascii="Times New Roman;serif" w:hAnsi="Times New Roman;serif"/>
          <w:b w:val="false"/>
          <w:color w:val="000000"/>
          <w:sz w:val="20"/>
        </w:rPr>
        <w:t>1.1-A.    </w:t>
      </w:r>
      <w:r>
        <w:rPr>
          <w:rFonts w:ascii="Times New Roman;serif" w:hAnsi="Times New Roman;serif"/>
          <w:b/>
          <w:color w:val="000000"/>
          <w:sz w:val="20"/>
          <w:u w:val="single"/>
        </w:rPr>
        <w:t>Implementation of Plan Freeze</w:t>
      </w:r>
      <w:r>
        <w:rPr>
          <w:rFonts w:ascii="Times New Roman;serif" w:hAnsi="Times New Roman;serif"/>
          <w:b w:val="false"/>
          <w:color w:val="000000"/>
          <w:sz w:val="20"/>
        </w:rPr>
        <w:t>. The Plan is hereby frozen as of January 1, 2027 (the “</w:t>
      </w:r>
      <w:r>
        <w:rPr>
          <w:rFonts w:ascii="Times New Roman;serif" w:hAnsi="Times New Roman;serif"/>
          <w:b/>
          <w:color w:val="000000"/>
          <w:sz w:val="20"/>
        </w:rPr>
        <w:t>Freeze Effective Date</w:t>
      </w:r>
      <w:r>
        <w:rPr>
          <w:color w:val="000000"/>
        </w:rPr>
        <w:t>”</w:t>
      </w:r>
      <w:r>
        <w:rPr>
          <w:rFonts w:ascii="Times New Roman;serif" w:hAnsi="Times New Roman;serif"/>
          <w:b w:val="false"/>
          <w:color w:val="000000"/>
          <w:sz w:val="20"/>
        </w:rPr>
        <w:t xml:space="preserve">). Notwithstanding any provision of the Plan to the contrary, on and after the Freeze Effective Date: (i) no new Eligible Executive shall be permitted to participate in the Plan, (ii) no new Deferral Election by an Eligible Executive to defer compensation or Performance Unit Compensation from the Company, as described in Section 3.1 of the Plan, earned for periods beginning on or after the Freeze Effective Date, shall be permitted under the Plan (including any Deferral Election that would otherwise roll forward and apply automatically in respect of future calendar years, which Deferral Elections shall be deemed null and void with respect to calendar years beginning on and after the Freeze Effective Date ); and (iii) no Corporation Contributions, matching contributions or other credits shall be made with respect to the Plan with respect to compensation earned for periods beginning on or after the Freeze Effective Date. Notwithstanding the immediately preceding sentence, amounts credited to Participant Accounts before the Freeze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8620"/>
                <wp:effectExtent l="0" t="0" r="0" b="0"/>
                <wp:wrapNone/>
                <wp:docPr id="39" name="Frame3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Effective Date (and amounts credited to Participant Accounts after the Freeze Effective Date pursuant to valid Deferral Elections made with respect to compensation earned before the Freeze Effective Date in accordance with the terms of the Plan (i.e., the deferral of Annual Incentive Pay with respect to the 2026 performance year)) shall remain subject to the terms of the Plan and the Participant’s Deferral Election, including applicable investment crediting (as described in Article VI of the Plan), distribution (as described in Article VII of the Plan) and administrative provisions (as described in Section 8.2 of the Plan), and shall not be affected by the foregoing freeze of the Plan.”</w:t>
      </w:r>
    </w:p>
    <w:p>
      <w:pPr>
        <w:pStyle w:val="TextBody"/>
        <w:bidi w:val="0"/>
        <w:spacing w:before="0" w:after="0"/>
        <w:jc w:val="left"/>
        <w:rPr/>
      </w:pPr>
      <w:r>
        <w:rPr/>
      </w:r>
    </w:p>
    <w:p>
      <w:pPr>
        <w:pStyle w:val="TextBody"/>
        <w:bidi w:val="0"/>
        <w:spacing w:lineRule="auto" w:line="319" w:before="0" w:after="0"/>
        <w:ind w:left="0" w:right="0" w:hanging="375"/>
        <w:jc w:val="left"/>
        <w:rPr>
          <w:rFonts w:ascii="Times New Roman;serif" w:hAnsi="Times New Roman;serif"/>
          <w:b w:val="false"/>
          <w:color w:val="000000"/>
          <w:sz w:val="20"/>
        </w:rPr>
      </w:pPr>
      <w:r>
        <w:rPr>
          <w:rFonts w:ascii="Times New Roman;serif" w:hAnsi="Times New Roman;serif"/>
          <w:b w:val="false"/>
          <w:color w:val="000000"/>
          <w:sz w:val="20"/>
        </w:rPr>
        <w:t>2.    All terms and conditions of the Plan, other than those specifically amended herein, shall be unaffected by this Amendment 2026-1 and shall continue in full force and effect.</w:t>
      </w:r>
    </w:p>
    <w:p>
      <w:pPr>
        <w:pStyle w:val="TextBody"/>
        <w:bidi w:val="0"/>
        <w:spacing w:before="0" w:after="0"/>
        <w:jc w:val="left"/>
        <w:rPr/>
      </w:pPr>
      <w:r>
        <w:rPr/>
      </w:r>
    </w:p>
    <w:p>
      <w:pPr>
        <w:pStyle w:val="TextBody"/>
        <w:bidi w:val="0"/>
        <w:spacing w:lineRule="auto" w:line="319" w:before="0" w:after="0"/>
        <w:ind w:left="0" w:right="0" w:firstLine="375"/>
        <w:jc w:val="left"/>
        <w:rPr/>
      </w:pPr>
      <w:r>
        <w:rPr>
          <w:rFonts w:ascii="Times New Roman;serif" w:hAnsi="Times New Roman;serif"/>
          <w:b/>
          <w:color w:val="000000"/>
          <w:sz w:val="20"/>
        </w:rPr>
        <w:t>IN WITNESS WHEREOF</w:t>
      </w:r>
      <w:r>
        <w:rPr>
          <w:rFonts w:ascii="Times New Roman;serif" w:hAnsi="Times New Roman;serif"/>
          <w:b w:val="false"/>
          <w:color w:val="000000"/>
          <w:sz w:val="20"/>
        </w:rPr>
        <w:t>, this Amendment 2026-1 to the Unisys Corporation 2005 Deferred Compensation Plan is hereby executed this 28th day of July, 2026.</w:t>
      </w:r>
    </w:p>
    <w:p>
      <w:pPr>
        <w:pStyle w:val="TextBody"/>
        <w:bidi w:val="0"/>
        <w:spacing w:before="0" w:after="0"/>
        <w:ind w:left="0" w:right="0" w:firstLine="375"/>
        <w:jc w:val="left"/>
        <w:rPr/>
      </w:pPr>
      <w:r>
        <w:rPr/>
      </w:r>
    </w:p>
    <w:p>
      <w:pPr>
        <w:pStyle w:val="TextBody"/>
        <w:bidi w:val="0"/>
        <w:spacing w:before="0" w:after="0"/>
        <w:ind w:left="0" w:right="0" w:firstLine="375"/>
        <w:jc w:val="left"/>
        <w:rPr/>
      </w:pPr>
      <w:r>
        <w:rPr/>
      </w:r>
    </w:p>
    <w:p>
      <w:pPr>
        <w:pStyle w:val="TextBody"/>
        <w:bidi w:val="0"/>
        <w:spacing w:lineRule="auto" w:line="319" w:before="0" w:after="0"/>
        <w:ind w:left="0" w:right="0" w:firstLine="375"/>
        <w:jc w:val="left"/>
        <w:rPr>
          <w:color w:val="000000"/>
        </w:rPr>
      </w:pPr>
      <w:r>
        <w:rPr>
          <w:color w:val="000000"/>
        </w:rPr>
        <w:t>                    </w:t>
      </w:r>
      <w:r>
        <w:rPr>
          <w:rFonts w:ascii="Times New Roman;serif" w:hAnsi="Times New Roman;serif"/>
          <w:b w:val="false"/>
          <w:color w:val="000000"/>
          <w:sz w:val="20"/>
        </w:rPr>
        <w:t>UNISYS CORPORATION</w:t>
      </w:r>
    </w:p>
    <w:p>
      <w:pPr>
        <w:pStyle w:val="TextBody"/>
        <w:bidi w:val="0"/>
        <w:spacing w:before="0" w:after="0"/>
        <w:ind w:left="0" w:right="0" w:firstLine="375"/>
        <w:jc w:val="left"/>
        <w:rPr/>
      </w:pPr>
      <w:r>
        <w:rPr/>
      </w:r>
    </w:p>
    <w:p>
      <w:pPr>
        <w:pStyle w:val="TextBody"/>
        <w:bidi w:val="0"/>
        <w:spacing w:before="0" w:after="0"/>
        <w:ind w:left="0" w:right="0" w:firstLine="375"/>
        <w:jc w:val="left"/>
        <w:rPr/>
      </w:pPr>
      <w:r>
        <w:rPr/>
      </w:r>
    </w:p>
    <w:p>
      <w:pPr>
        <w:pStyle w:val="TextBody"/>
        <w:bidi w:val="0"/>
        <w:spacing w:lineRule="auto" w:line="319" w:before="0" w:after="0"/>
        <w:ind w:left="0" w:right="0" w:firstLine="375"/>
        <w:jc w:val="left"/>
        <w:rPr/>
      </w:pPr>
      <w:r>
        <w:rPr>
          <w:color w:val="000000"/>
        </w:rPr>
        <w:t>                    </w:t>
      </w:r>
      <w:r>
        <w:rPr>
          <w:rFonts w:ascii="Times New Roman;serif" w:hAnsi="Times New Roman;serif"/>
          <w:b w:val="false"/>
          <w:color w:val="000000"/>
          <w:sz w:val="20"/>
        </w:rPr>
        <w:t>By:_</w:t>
      </w:r>
      <w:r>
        <w:rPr>
          <w:rFonts w:ascii="Times New Roman;serif" w:hAnsi="Times New Roman;serif"/>
          <w:b w:val="false"/>
          <w:color w:val="000000"/>
          <w:sz w:val="20"/>
          <w:u w:val="single"/>
        </w:rPr>
        <w:t>/s/ Kristen Prohl</w:t>
      </w:r>
      <w:r>
        <w:rPr>
          <w:rFonts w:ascii="Times New Roman;serif" w:hAnsi="Times New Roman;serif"/>
          <w:b w:val="false"/>
          <w:color w:val="000000"/>
          <w:sz w:val="20"/>
        </w:rPr>
        <w:t>______________________</w:t>
        <w:br/>
        <w:t>                     Senior Vice President, General Counsel, Corporate</w:t>
      </w:r>
    </w:p>
    <w:p>
      <w:pPr>
        <w:pStyle w:val="TextBody"/>
        <w:bidi w:val="0"/>
        <w:spacing w:lineRule="auto" w:line="319"/>
        <w:jc w:val="left"/>
        <w:rPr>
          <w:rFonts w:ascii="Times New Roman;serif" w:hAnsi="Times New Roman;serif"/>
          <w:b w:val="false"/>
          <w:color w:val="000000"/>
          <w:sz w:val="20"/>
        </w:rPr>
      </w:pPr>
      <w:r>
        <w:rPr>
          <w:rFonts w:ascii="Times New Roman;serif" w:hAnsi="Times New Roman;serif"/>
          <w:b w:val="false"/>
          <w:color w:val="000000"/>
          <w:sz w:val="20"/>
        </w:rPr>
        <w:t xml:space="preserve">Secretary and Chief Administration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8620"/>
                <wp:effectExtent l="0" t="0" r="0" b="0"/>
                <wp:wrapNone/>
                <wp:docPr id="40" name="Frame4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M. Thomson,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Unisys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4181"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 Thomson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Debra McCann,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Unisys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5410"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1296"/>
        <w:gridCol w:w="1296"/>
        <w:gridCol w:w="1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M. Thomson, Chief Executive Officer and President of Unisys Corporation (the “Company”), certify, pursuant to Section 906 of the Sarbanes-Oxley Act of 2002, 18 U.S.C. Section 1350,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June 30, 2026 (the “Report”) fully complies with the requirements of Section 13(a) or Section 15(d) of the Securities Exchange Act of 1934 (15 U.S.C. 78m);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3551" w:type="dxa"/>
        <w:jc w:val="left"/>
        <w:tblInd w:w="0" w:type="dxa"/>
        <w:tblLayout w:type="fixed"/>
        <w:tblCellMar>
          <w:top w:w="28" w:type="dxa"/>
          <w:left w:w="28" w:type="dxa"/>
          <w:bottom w:w="28" w:type="dxa"/>
          <w:right w:w="28" w:type="dxa"/>
        </w:tblCellMar>
      </w:tblPr>
      <w:tblGrid>
        <w:gridCol w:w="1152"/>
        <w:gridCol w:w="1012"/>
        <w:gridCol w:w="1015"/>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 Thomson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Debra McCann, Executive Vice President and Chief Financial Officer of Unisys Corporation (the “Company”), certify, pursuant to Section 906 of the Sarbanes-Oxley Act of 2002, 18 U.S.C. Section 1350,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June 30, 2026 (the “Report”) fully complies with the requirements of Section 13(a) or Section 15(d) of the Securities Exchange Act of 1934 (15 U.S.C. 78m);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0"/>
        <w:jc w:val="left"/>
        <w:rPr>
          <w:color w:val="000000"/>
        </w:rPr>
      </w:pPr>
      <w:r>
        <w:rPr>
          <w:color w:val="000000"/>
        </w:rPr>
        <w:t> </w:t>
      </w:r>
    </w:p>
    <w:tbl>
      <w:tblPr>
        <w:tblW w:w="4782" w:type="dxa"/>
        <w:jc w:val="left"/>
        <w:tblInd w:w="0" w:type="dxa"/>
        <w:tblLayout w:type="fixed"/>
        <w:tblCellMar>
          <w:top w:w="28" w:type="dxa"/>
          <w:left w:w="28" w:type="dxa"/>
          <w:bottom w:w="28" w:type="dxa"/>
          <w:right w:w="28" w:type="dxa"/>
        </w:tblCellMar>
      </w:tblPr>
      <w:tblGrid>
        <w:gridCol w:w="1596"/>
        <w:gridCol w:w="1404"/>
        <w:gridCol w:w="1410"/>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18734</Words>
  <Characters>102667</Characters>
  <CharactersWithSpaces>119992</CharactersWithSpaces>
  <Paragraphs>2504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