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6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4029075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23495</wp:posOffset>
            </wp:positionV>
            <wp:extent cx="6990715" cy="555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715" cy="555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80"/>
            <w:col w:w="8580"/>
          </w:cols>
          <w:pgMar w:left="460" w:top="224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Sokenu Claudius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UNISYS CORPORATION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801 LAKEVIEW DRIVE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BLUE BELL</w:t>
            </w:r>
          </w:p>
        </w:tc>
        <w:tc>
          <w:tcPr>
            <w:tcW w:w="1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19422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UNISYS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UIS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Gen.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5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00"/>
            <w:col w:w="7220"/>
          </w:cols>
          <w:pgMar w:left="460" w:top="22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5,240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1,894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3.84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5,240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10,481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-2138680</wp:posOffset>
            </wp:positionV>
            <wp:extent cx="29210" cy="2143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43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Unisys Corporation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5"/>
        <w:spacing w:after="0" w:line="254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Time-based restricted stock units ("TB-RSUs") granted on June 1, 2022, under the Unisys Corporation 2019 Long-Term Incentive and Equity Compensation Plan. The TB-RSUs vest in three equal installments on June 1, 2023, 2024, and 2025, respectively (or if such date does not fall on a trading day, the immediately preceding trading day).</w:t>
      </w:r>
    </w:p>
    <w:p>
      <w:pPr>
        <w:ind w:left="658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Natasha Redding, attorney-in- 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44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-18415</wp:posOffset>
            </wp:positionV>
            <wp:extent cx="1631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-85090</wp:posOffset>
            </wp:positionV>
            <wp:extent cx="495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2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26784" TargetMode="External"/><Relationship Id="rId13" Type="http://schemas.openxmlformats.org/officeDocument/2006/relationships/hyperlink" Target="http://www.sec.gov/cgi-bin/browse-edgar?action=getcompany&amp;CIK=0000746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2023-06-05T15:48:15Z</dcterms:created>
  <dcterms:modified xsi:type="dcterms:W3CDTF">2023-06-05T15:48:15Z</dcterms:modified>
</cp:coreProperties>
</file>