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124460</wp:posOffset>
            </wp:positionV>
            <wp:extent cx="20142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53340</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139700</wp:posOffset>
            </wp:positionV>
            <wp:extent cx="2014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UNISYS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86995</wp:posOffset>
            </wp:positionV>
            <wp:extent cx="2014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440" w:type="dxa"/>
        <w:tblCellMar>
          <w:top w:w="0" w:type="dxa"/>
          <w:left w:w="0" w:type="dxa"/>
          <w:bottom w:w="0" w:type="dxa"/>
          <w:right w:w="0" w:type="dxa"/>
        </w:tblCellMar>
      </w:tblPr>
      <w:tr>
        <w:trPr>
          <w:trHeight w:val="227"/>
        </w:trPr>
        <w:tc>
          <w:tcPr>
            <w:tcW w:w="2580" w:type="dxa"/>
            <w:vAlign w:val="bottom"/>
          </w:tcPr>
          <w:p>
            <w:pPr>
              <w:jc w:val="center"/>
              <w:ind w:right="7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1439"/>
              <w:spacing w:after="0"/>
              <w:rPr>
                <w:sz w:val="20"/>
                <w:szCs w:val="20"/>
                <w:color w:val="auto"/>
              </w:rPr>
            </w:pPr>
            <w:r>
              <w:rPr>
                <w:rFonts w:ascii="Times New Roman" w:cs="Times New Roman" w:eastAsia="Times New Roman" w:hAnsi="Times New Roman"/>
                <w:sz w:val="18"/>
                <w:szCs w:val="18"/>
                <w:b w:val="1"/>
                <w:bCs w:val="1"/>
                <w:color w:val="auto"/>
              </w:rPr>
              <w:t>1-8729</w:t>
            </w:r>
          </w:p>
        </w:tc>
        <w:tc>
          <w:tcPr>
            <w:tcW w:w="206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38-0387840</w:t>
            </w:r>
          </w:p>
        </w:tc>
      </w:tr>
      <w:tr>
        <w:trPr>
          <w:trHeight w:val="146"/>
        </w:trPr>
        <w:tc>
          <w:tcPr>
            <w:tcW w:w="2580" w:type="dxa"/>
            <w:vAlign w:val="bottom"/>
          </w:tcPr>
          <w:p>
            <w:pPr>
              <w:jc w:val="center"/>
              <w:ind w:right="7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060" w:type="dxa"/>
            <w:vAlign w:val="bottom"/>
          </w:tcPr>
          <w:p>
            <w:pPr>
              <w:jc w:val="center"/>
              <w:ind w:left="86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68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380" w:type="dxa"/>
            <w:vAlign w:val="bottom"/>
          </w:tcPr>
          <w:p>
            <w:pPr>
              <w:spacing w:after="0"/>
              <w:rPr>
                <w:sz w:val="16"/>
                <w:szCs w:val="16"/>
                <w:color w:val="auto"/>
              </w:rPr>
            </w:pPr>
          </w:p>
        </w:tc>
        <w:tc>
          <w:tcPr>
            <w:tcW w:w="206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27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801 Lakeview Drive, Suite 100</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986-4011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129540</wp:posOffset>
            </wp:positionV>
            <wp:extent cx="2014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78" w:lineRule="exact"/>
        <w:rPr>
          <w:sz w:val="24"/>
          <w:szCs w:val="24"/>
          <w:color w:val="auto"/>
        </w:rPr>
      </w:pPr>
    </w:p>
    <w:p>
      <w:pPr>
        <w:ind w:right="520"/>
        <w:spacing w:after="0" w:line="260"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55" w:lineRule="exact"/>
        <w:rPr>
          <w:rFonts w:ascii="MS PGothic" w:cs="MS PGothic" w:eastAsia="MS PGothic" w:hAnsi="MS PGothic"/>
          <w:sz w:val="17"/>
          <w:szCs w:val="17"/>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55" w:lineRule="exact"/>
        <w:rPr>
          <w:rFonts w:ascii="MS PGothic" w:cs="MS PGothic" w:eastAsia="MS PGothic" w:hAnsi="MS PGothic"/>
          <w:sz w:val="17"/>
          <w:szCs w:val="17"/>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6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3240" w:type="dxa"/>
            <w:vAlign w:val="bottom"/>
            <w:gridSpan w:val="2"/>
            <w:vMerge w:val="continue"/>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6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UIS</w:t>
            </w:r>
          </w:p>
        </w:tc>
        <w:tc>
          <w:tcPr>
            <w:tcW w:w="100" w:type="dxa"/>
            <w:vAlign w:val="bottom"/>
          </w:tcPr>
          <w:p>
            <w:pPr>
              <w:spacing w:after="0"/>
              <w:rPr>
                <w:sz w:val="20"/>
                <w:szCs w:val="20"/>
                <w:color w:val="auto"/>
              </w:rPr>
            </w:pPr>
          </w:p>
        </w:tc>
        <w:tc>
          <w:tcPr>
            <w:tcW w:w="6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307" w:lineRule="exact"/>
        <w:rPr>
          <w:sz w:val="24"/>
          <w:szCs w:val="24"/>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May 5, 2026, Unisys Corporation issued a news release to report its financial results for the quarter ended March 31, 2026. The news release is furnished as Exhibit 99.1 to this Current Report.</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680" w:hanging="654"/>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 is being furnished herewith:</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15"/>
                <w:szCs w:val="15"/>
                <w:color w:val="auto"/>
              </w:rPr>
            </w:pPr>
          </w:p>
        </w:tc>
        <w:tc>
          <w:tcPr>
            <w:tcW w:w="93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News Release, dated May 5, 2026, of Unisys Corporation</w:t>
            </w:r>
          </w:p>
        </w:tc>
        <w:tc>
          <w:tcPr>
            <w:tcW w:w="44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Extensible Business Reporting Language document)</w:t>
            </w:r>
          </w:p>
        </w:tc>
      </w:tr>
      <w:tr>
        <w:trPr>
          <w:trHeight w:val="101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Unisys Corporation</w:t>
            </w:r>
          </w:p>
        </w:tc>
      </w:tr>
      <w:tr>
        <w:trPr>
          <w:trHeight w:val="68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5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Debra McCann</w:t>
            </w:r>
          </w:p>
        </w:tc>
      </w:tr>
      <w:tr>
        <w:trPr>
          <w:trHeight w:val="218"/>
        </w:trPr>
        <w:tc>
          <w:tcPr>
            <w:tcW w:w="3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Debra McCann</w:t>
            </w:r>
          </w:p>
        </w:tc>
      </w:tr>
      <w:tr>
        <w:trPr>
          <w:trHeight w:val="234"/>
        </w:trPr>
        <w:tc>
          <w:tcPr>
            <w:tcW w:w="3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483235</wp:posOffset>
            </wp:positionV>
            <wp:extent cx="2031365"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7029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3"/>
          <w:szCs w:val="43"/>
          <w:b w:val="1"/>
          <w:bCs w:val="1"/>
          <w:color w:val="auto"/>
        </w:rPr>
        <w:t>News Release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Unisys Announces 1Q26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Unisys Reaffirms Full-Year Guidance Amid Improved Profitability and Strong New Business Signings</w:t>
      </w:r>
    </w:p>
    <w:p>
      <w:pPr>
        <w:spacing w:after="0" w:line="13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Revenue of $437.6 million, up 1.3% year over year (YoY), down 4.5% in constant currency</w:t>
      </w:r>
      <w:r>
        <w:rPr>
          <w:rFonts w:ascii="Times New Roman" w:cs="Times New Roman" w:eastAsia="Times New Roman" w:hAnsi="Times New Roman"/>
          <w:sz w:val="25"/>
          <w:szCs w:val="25"/>
          <w:color w:val="auto"/>
          <w:vertAlign w:val="superscript"/>
        </w:rPr>
        <w:t>(1)</w:t>
      </w:r>
    </w:p>
    <w:p>
      <w:pPr>
        <w:spacing w:after="0" w:line="90" w:lineRule="exact"/>
        <w:rPr>
          <w:rFonts w:ascii="Times New Roman" w:cs="Times New Roman" w:eastAsia="Times New Roman" w:hAnsi="Times New Roman"/>
          <w:sz w:val="20"/>
          <w:szCs w:val="20"/>
          <w:b w:val="1"/>
          <w:bCs w:val="1"/>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Excluding License and Support (Ex-L&amp;S)</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revenue of $372.1 million, up 3.1% YoY, down 2.9% in constant currency</w:t>
      </w:r>
    </w:p>
    <w:p>
      <w:pPr>
        <w:spacing w:after="0" w:line="53" w:lineRule="exact"/>
        <w:rPr>
          <w:rFonts w:ascii="Times New Roman" w:cs="Times New Roman" w:eastAsia="Times New Roman" w:hAnsi="Times New Roman"/>
          <w:sz w:val="20"/>
          <w:szCs w:val="20"/>
          <w:color w:val="auto"/>
        </w:rPr>
      </w:pPr>
    </w:p>
    <w:p>
      <w:pPr>
        <w:ind w:left="300" w:hanging="292"/>
        <w:spacing w:after="0" w:line="226" w:lineRule="auto"/>
        <w:tabs>
          <w:tab w:leader="none" w:pos="300" w:val="left"/>
        </w:tabs>
        <w:numPr>
          <w:ilvl w:val="0"/>
          <w:numId w:val="3"/>
        </w:numPr>
        <w:rPr>
          <w:rFonts w:ascii="Arial" w:cs="Arial" w:eastAsia="Arial" w:hAnsi="Arial"/>
          <w:sz w:val="26"/>
          <w:szCs w:val="26"/>
          <w:b w:val="1"/>
          <w:bCs w:val="1"/>
          <w:i w:val="1"/>
          <w:iCs w:val="1"/>
          <w:color w:val="auto"/>
          <w:vertAlign w:val="superscript"/>
        </w:rPr>
      </w:pPr>
      <w:r>
        <w:rPr>
          <w:rFonts w:ascii="Times New Roman" w:cs="Times New Roman" w:eastAsia="Times New Roman" w:hAnsi="Times New Roman"/>
          <w:sz w:val="20"/>
          <w:szCs w:val="20"/>
          <w:color w:val="auto"/>
        </w:rPr>
        <w:t>Gross profit margin of 25.7%, up 80 bps YoY; Ex-L&amp;S gross profit margin of 19.5%, up 170 bps YoY</w:t>
      </w:r>
    </w:p>
    <w:p>
      <w:pPr>
        <w:spacing w:after="0" w:line="120" w:lineRule="exact"/>
        <w:rPr>
          <w:rFonts w:ascii="Arial" w:cs="Arial" w:eastAsia="Arial" w:hAnsi="Arial"/>
          <w:sz w:val="26"/>
          <w:szCs w:val="26"/>
          <w:b w:val="1"/>
          <w:bCs w:val="1"/>
          <w:i w:val="1"/>
          <w:iCs w:val="1"/>
          <w:color w:val="auto"/>
          <w:vertAlign w:val="superscript"/>
        </w:rPr>
      </w:pPr>
    </w:p>
    <w:p>
      <w:pPr>
        <w:ind w:left="300" w:hanging="292"/>
        <w:spacing w:after="0"/>
        <w:tabs>
          <w:tab w:leader="none" w:pos="300" w:val="left"/>
        </w:tabs>
        <w:numPr>
          <w:ilvl w:val="0"/>
          <w:numId w:val="3"/>
        </w:numPr>
        <w:rPr>
          <w:rFonts w:ascii="Arial" w:cs="Arial" w:eastAsia="Arial" w:hAnsi="Arial"/>
          <w:sz w:val="26"/>
          <w:szCs w:val="26"/>
          <w:b w:val="1"/>
          <w:bCs w:val="1"/>
          <w:i w:val="1"/>
          <w:iCs w:val="1"/>
          <w:color w:val="auto"/>
          <w:vertAlign w:val="superscript"/>
        </w:rPr>
      </w:pPr>
      <w:r>
        <w:rPr>
          <w:rFonts w:ascii="Times New Roman" w:cs="Times New Roman" w:eastAsia="Times New Roman" w:hAnsi="Times New Roman"/>
          <w:sz w:val="20"/>
          <w:szCs w:val="20"/>
          <w:color w:val="auto"/>
        </w:rPr>
        <w:t>Operating profit margin of 3.7%, improved 250 bps YoY; non-GAAP operating profit</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margin of 4.5%, improved 170 bps YoY</w:t>
      </w:r>
    </w:p>
    <w:p>
      <w:pPr>
        <w:spacing w:after="0" w:line="65" w:lineRule="exact"/>
        <w:rPr>
          <w:rFonts w:ascii="Arial" w:cs="Arial" w:eastAsia="Arial" w:hAnsi="Arial"/>
          <w:sz w:val="26"/>
          <w:szCs w:val="26"/>
          <w:b w:val="1"/>
          <w:bCs w:val="1"/>
          <w:i w:val="1"/>
          <w:iCs w:val="1"/>
          <w:color w:val="auto"/>
          <w:vertAlign w:val="superscript"/>
        </w:rPr>
      </w:pPr>
    </w:p>
    <w:p>
      <w:pPr>
        <w:ind w:left="320" w:hanging="312"/>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Business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Total Contract Value (TCV)</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of $158 million, an increase of 45% YoY</w:t>
      </w:r>
    </w:p>
    <w:p>
      <w:pPr>
        <w:spacing w:after="0" w:line="90"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Unisys expands AI capabilities with key product releases for the ClearPath® Forward ecosystem</w:t>
      </w:r>
    </w:p>
    <w:p>
      <w:pPr>
        <w:spacing w:after="0" w:line="13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Unisys reaffirms 2026 full-year guidance ranges for both constant currency revenue growth and non-GAAP operating profit margin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BLUE BELL, Pa., May 5, 2026 </w:t>
      </w:r>
      <w:r>
        <w:rPr>
          <w:rFonts w:ascii="Times New Roman" w:cs="Times New Roman" w:eastAsia="Times New Roman" w:hAnsi="Times New Roman"/>
          <w:sz w:val="20"/>
          <w:szCs w:val="20"/>
          <w:color w:val="auto"/>
        </w:rPr>
        <w:t>– Unisys Corporation (NYSE: UIS) reported financial results for the first quarter of 2026 (1Q26).</w:t>
      </w:r>
    </w:p>
    <w:p>
      <w:pPr>
        <w:spacing w:after="0" w:line="179"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20"/>
          <w:szCs w:val="20"/>
          <w:color w:val="auto"/>
        </w:rPr>
        <w:t>"We are off to a good start in 2026, with solid financial performance and double-digit growth in New Business signings in the first quarter," said Michael Thomson, Unisys CEO and President. "Our proven ability to move tangible AI use cases into production, with measurable results, is making Unisys more relevant to clients and alliance partners. We also released a number of ClearPath Forward products and tools that enable enterprise AI both on our platforms and external systems, reinforcing the long-term value proposition of the ClearPath Forward ecosystem."</w:t>
      </w:r>
    </w:p>
    <w:p>
      <w:pPr>
        <w:spacing w:after="0" w:line="74" w:lineRule="exact"/>
        <w:rPr>
          <w:sz w:val="20"/>
          <w:szCs w:val="20"/>
          <w:color w:val="auto"/>
        </w:rPr>
      </w:pPr>
    </w:p>
    <w:p>
      <w:pPr>
        <w:ind w:right="80"/>
        <w:spacing w:after="0" w:line="324" w:lineRule="auto"/>
        <w:rPr>
          <w:sz w:val="20"/>
          <w:szCs w:val="20"/>
          <w:color w:val="auto"/>
        </w:rPr>
      </w:pPr>
      <w:r>
        <w:rPr>
          <w:rFonts w:ascii="Times New Roman" w:cs="Times New Roman" w:eastAsia="Times New Roman" w:hAnsi="Times New Roman"/>
          <w:sz w:val="20"/>
          <w:szCs w:val="20"/>
          <w:color w:val="auto"/>
        </w:rPr>
        <w:t>Unisys Chief Financial Officer Deb McCann said, "We are pleased to reaffirm our full-year financial guidance ranges for both revenue and profitability. Our strong first quarter client signings reinforce our confidence in our revenue outlook. Consistent progress on delivery and operational efficiency initiatives improved our first quarter margins and keeps us on track to meet our free cash flow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80"/>
          </w:cols>
          <w:pgMar w:left="320" w:top="1440"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Highlights</w:t>
      </w:r>
    </w:p>
    <w:p>
      <w:pPr>
        <w:spacing w:after="0" w:line="56" w:lineRule="exact"/>
        <w:rPr>
          <w:sz w:val="20"/>
          <w:szCs w:val="20"/>
          <w:color w:val="auto"/>
        </w:rPr>
      </w:pPr>
    </w:p>
    <w:p>
      <w:pPr>
        <w:ind w:right="120"/>
        <w:spacing w:after="0" w:line="365" w:lineRule="auto"/>
        <w:rPr>
          <w:sz w:val="20"/>
          <w:szCs w:val="20"/>
          <w:color w:val="auto"/>
        </w:rPr>
      </w:pPr>
      <w:r>
        <w:rPr>
          <w:rFonts w:ascii="Times New Roman" w:cs="Times New Roman" w:eastAsia="Times New Roman" w:hAnsi="Times New Roman"/>
          <w:sz w:val="14"/>
          <w:szCs w:val="14"/>
          <w:i w:val="1"/>
          <w:iCs w:val="1"/>
          <w:color w:val="auto"/>
        </w:rPr>
        <w:t>Please refer to the accompanying financial tables for a reconciliation of the GAAP to non-GAAP measures presented, except for financial guidance since such a reconciliation is not practicable without unreasonable effort.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numbers presented as percentages)</w:t>
            </w: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1Q26</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1Q25</w:t>
            </w:r>
          </w:p>
        </w:tc>
      </w:tr>
      <w:tr>
        <w:trPr>
          <w:trHeight w:val="223"/>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$437.6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$432.1</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 in constant currency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Ex-L&amp;S revenue</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$372.1</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$361.0</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 in constant currency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4"/>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License and Support</w:t>
            </w:r>
            <w:r>
              <w:rPr>
                <w:rFonts w:ascii="Times New Roman" w:cs="Times New Roman" w:eastAsia="Times New Roman" w:hAnsi="Times New Roman"/>
                <w:sz w:val="23"/>
                <w:szCs w:val="23"/>
                <w:b w:val="1"/>
                <w:bCs w:val="1"/>
                <w:color w:val="auto"/>
                <w:vertAlign w:val="superscript"/>
              </w:rPr>
              <w:t>(12)</w:t>
            </w:r>
            <w:r>
              <w:rPr>
                <w:rFonts w:ascii="Times New Roman" w:cs="Times New Roman" w:eastAsia="Times New Roman" w:hAnsi="Times New Roman"/>
                <w:sz w:val="18"/>
                <w:szCs w:val="18"/>
                <w:b w:val="1"/>
                <w:bCs w:val="1"/>
                <w:color w:val="auto"/>
              </w:rPr>
              <w:t xml:space="preserve"> revenue</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$71.1</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(7.9)%</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 in constant currency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70"/>
        </w:trPr>
        <w:tc>
          <w:tcPr>
            <w:tcW w:w="8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$112.5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$107.5</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percent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24.9 %</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Ex-L&amp;S gross profit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$64.2</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Ex-L&amp;S gross profit percent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19.5 %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17.8 %</w:t>
            </w:r>
          </w:p>
        </w:tc>
      </w:tr>
      <w:tr>
        <w:trPr>
          <w:trHeight w:val="270"/>
        </w:trPr>
        <w:tc>
          <w:tcPr>
            <w:tcW w:w="84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$16.2</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profit percent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profit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$19.8</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Non-GAAP operating profit percent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r>
      <w:tr>
        <w:trPr>
          <w:trHeight w:val="270"/>
        </w:trPr>
        <w:tc>
          <w:tcPr>
            <w:tcW w:w="8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Unisys Corporation</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Non-GAAP net loss attributable to Unisys Corporation</w:t>
            </w:r>
            <w:r>
              <w:rPr>
                <w:rFonts w:ascii="Times New Roman" w:cs="Times New Roman" w:eastAsia="Times New Roman" w:hAnsi="Times New Roman"/>
                <w:sz w:val="23"/>
                <w:szCs w:val="23"/>
                <w:b w:val="1"/>
                <w:bCs w:val="1"/>
                <w:color w:val="auto"/>
                <w:vertAlign w:val="superscript"/>
              </w:rPr>
              <w:t>(8)</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($9.9)</w:t>
            </w:r>
          </w:p>
        </w:tc>
        <w:tc>
          <w:tcPr>
            <w:tcW w:w="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70"/>
        </w:trPr>
        <w:tc>
          <w:tcPr>
            <w:tcW w:w="84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3"/>
                <w:szCs w:val="23"/>
                <w:b w:val="1"/>
                <w:bCs w:val="1"/>
                <w:color w:val="auto"/>
                <w:vertAlign w:val="superscript"/>
              </w:rPr>
              <w:t>(7)</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$13.8</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9"/>
        </w:trPr>
        <w:tc>
          <w:tcPr>
            <w:tcW w:w="8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(7)</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$40.2</w:t>
            </w:r>
          </w:p>
        </w:tc>
      </w:tr>
      <w:tr>
        <w:trPr>
          <w:trHeight w:val="23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Adjusted EBITDA as a percentage of revenue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9.3 %</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First Quarter 2026 Results</w:t>
      </w:r>
    </w:p>
    <w:p>
      <w:pPr>
        <w:spacing w:after="0" w:line="179" w:lineRule="exact"/>
        <w:rPr>
          <w:sz w:val="20"/>
          <w:szCs w:val="20"/>
          <w:color w:val="auto"/>
        </w:rPr>
      </w:pPr>
    </w:p>
    <w:p>
      <w:pPr>
        <w:ind w:right="400"/>
        <w:spacing w:after="0" w:line="324" w:lineRule="auto"/>
        <w:rPr>
          <w:sz w:val="20"/>
          <w:szCs w:val="20"/>
          <w:color w:val="auto"/>
        </w:rPr>
      </w:pPr>
      <w:r>
        <w:rPr>
          <w:rFonts w:ascii="Times New Roman" w:cs="Times New Roman" w:eastAsia="Times New Roman" w:hAnsi="Times New Roman"/>
          <w:sz w:val="20"/>
          <w:szCs w:val="20"/>
          <w:color w:val="auto"/>
        </w:rPr>
        <w:t>Revenue increased 1.3% YoY, down 4.5% in constant currency. Foreign currency fluctuations contributed a 6 percentage-point positive impact on revenue in the current period compared with the prior-year period, which was partially offset by the timing of software license renewals, and a 2.9% decline in Ex-L&amp;S revenue in constant currency.</w:t>
      </w:r>
    </w:p>
    <w:p>
      <w:pPr>
        <w:spacing w:after="0" w:line="68"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20"/>
          <w:szCs w:val="20"/>
          <w:color w:val="auto"/>
        </w:rPr>
        <w:t>Gross profit margin improved 80 bps YoY. Ex-L&amp;S gross profit margin increased 170 bps YoY, primarily driven by delivery improvement and labor cost savings initiatives in the Cloud, Applications &amp; Infrastructure Solutions (CA&amp;I) segment.</w:t>
      </w:r>
    </w:p>
    <w:p>
      <w:pPr>
        <w:spacing w:after="0" w:line="52" w:lineRule="exact"/>
        <w:rPr>
          <w:sz w:val="20"/>
          <w:szCs w:val="20"/>
          <w:color w:val="auto"/>
        </w:rPr>
      </w:pPr>
    </w:p>
    <w:p>
      <w:pPr>
        <w:ind w:right="60"/>
        <w:spacing w:after="0" w:line="319" w:lineRule="auto"/>
        <w:rPr>
          <w:sz w:val="20"/>
          <w:szCs w:val="20"/>
          <w:color w:val="auto"/>
        </w:rPr>
      </w:pPr>
      <w:r>
        <w:rPr>
          <w:rFonts w:ascii="Times New Roman" w:cs="Times New Roman" w:eastAsia="Times New Roman" w:hAnsi="Times New Roman"/>
          <w:sz w:val="20"/>
          <w:szCs w:val="20"/>
          <w:color w:val="auto"/>
        </w:rPr>
        <w:t>During the first quarter of 2026, a transaction within the company's United Kingdom business process outsourcing consolidated joint venture generated approximately $3 million of gross margin benefit, resulting in a positive impact on gross profit margin and Ex-L&amp;S gross profit margin of 50 basis points and 70 basis points, respectively. This transaction is expected to generate approximately $12 million of gross margin benefit for 2026.</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93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Highlights by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numbers presented as percentages)</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1Q26</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1Q25</w:t>
            </w:r>
          </w:p>
        </w:tc>
      </w:tr>
      <w:tr>
        <w:trPr>
          <w:trHeight w:val="209"/>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Workplace Solutions (DWS):</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$118.2</w:t>
            </w:r>
          </w:p>
        </w:tc>
        <w:tc>
          <w:tcPr>
            <w:tcW w:w="1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$118.6</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 in constant currency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$16.9</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percent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13.5 %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14.2 %</w:t>
            </w:r>
          </w:p>
        </w:tc>
      </w:tr>
      <w:tr>
        <w:trPr>
          <w:trHeight w:val="257"/>
        </w:trPr>
        <w:tc>
          <w:tcPr>
            <w:tcW w:w="8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Cloud, Applications &amp; Infrastructure Solutions (CA&amp;I):</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$182.0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$176.6</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 in constant currency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$39.6</w:t>
            </w:r>
          </w:p>
        </w:tc>
        <w:tc>
          <w:tcPr>
            <w:tcW w:w="1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$34.4</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percent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21.8 %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19.5 %</w:t>
            </w:r>
          </w:p>
        </w:tc>
      </w:tr>
      <w:tr>
        <w:trPr>
          <w:trHeight w:val="257"/>
        </w:trPr>
        <w:tc>
          <w:tcPr>
            <w:tcW w:w="8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Enterprise Computing Solutions (ECS):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$115.2</w:t>
            </w:r>
          </w:p>
        </w:tc>
        <w:tc>
          <w:tcPr>
            <w:tcW w:w="1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$118.7</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YoY revenue change in constant currency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$56.6</w:t>
            </w:r>
          </w:p>
        </w:tc>
      </w:tr>
      <w:tr>
        <w:trPr>
          <w:trHeight w:val="236"/>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percent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46.9 %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47.7 %</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First Quarter 2026 Segment Results</w:t>
      </w:r>
    </w:p>
    <w:p>
      <w:pPr>
        <w:spacing w:after="0" w:line="179" w:lineRule="exact"/>
        <w:rPr>
          <w:sz w:val="20"/>
          <w:szCs w:val="20"/>
          <w:color w:val="auto"/>
        </w:rPr>
      </w:pPr>
    </w:p>
    <w:p>
      <w:pPr>
        <w:ind w:right="380"/>
        <w:spacing w:after="0" w:line="324" w:lineRule="auto"/>
        <w:rPr>
          <w:sz w:val="20"/>
          <w:szCs w:val="20"/>
          <w:color w:val="auto"/>
        </w:rPr>
      </w:pPr>
      <w:r>
        <w:rPr>
          <w:rFonts w:ascii="Times New Roman" w:cs="Times New Roman" w:eastAsia="Times New Roman" w:hAnsi="Times New Roman"/>
          <w:sz w:val="20"/>
          <w:szCs w:val="20"/>
          <w:color w:val="auto"/>
        </w:rPr>
        <w:t>DWS revenue declined 0.3% YoY, down 6.5% in constant currency. Fluctuations in foreign currency contributed a 6 percentage-point positive impact on DWS revenue compared to the prior-year period. DWS gross profit margin was 13.5%, a decrease of 70 bps YoY. The decreases in revenue and gross profit margin were primarily driven by lower volume due to client attrition.</w:t>
      </w:r>
    </w:p>
    <w:p>
      <w:pPr>
        <w:spacing w:after="0" w:line="68" w:lineRule="exact"/>
        <w:rPr>
          <w:sz w:val="20"/>
          <w:szCs w:val="20"/>
          <w:color w:val="auto"/>
        </w:rPr>
      </w:pPr>
    </w:p>
    <w:p>
      <w:pPr>
        <w:ind w:right="180"/>
        <w:spacing w:after="0" w:line="319" w:lineRule="auto"/>
        <w:rPr>
          <w:sz w:val="20"/>
          <w:szCs w:val="20"/>
          <w:color w:val="auto"/>
        </w:rPr>
      </w:pPr>
      <w:r>
        <w:rPr>
          <w:rFonts w:ascii="Times New Roman" w:cs="Times New Roman" w:eastAsia="Times New Roman" w:hAnsi="Times New Roman"/>
          <w:sz w:val="20"/>
          <w:szCs w:val="20"/>
          <w:color w:val="auto"/>
        </w:rPr>
        <w:t>CA&amp;I revenue increased 3.1% YoY, down 2.4% in constant currency. Fluctuations in foreign currency contributed a 5 percentage-point positive impact on CA&amp;I revenue compared to the prior-year period. This positive impact was partially offset by reduced volume due to client attrition. CA&amp;I gross profit margin was 21.8%, an increase of 230 bps YoY, primarily driven by delivery improvement and labor cost savings initiatives.</w:t>
      </w:r>
    </w:p>
    <w:p>
      <w:pPr>
        <w:spacing w:after="0" w:line="73" w:lineRule="exact"/>
        <w:rPr>
          <w:sz w:val="20"/>
          <w:szCs w:val="20"/>
          <w:color w:val="auto"/>
        </w:rPr>
      </w:pPr>
    </w:p>
    <w:p>
      <w:pPr>
        <w:ind w:right="140"/>
        <w:spacing w:after="0" w:line="348" w:lineRule="auto"/>
        <w:rPr>
          <w:sz w:val="20"/>
          <w:szCs w:val="20"/>
          <w:color w:val="auto"/>
        </w:rPr>
      </w:pPr>
      <w:r>
        <w:rPr>
          <w:rFonts w:ascii="Times New Roman" w:cs="Times New Roman" w:eastAsia="Times New Roman" w:hAnsi="Times New Roman"/>
          <w:sz w:val="19"/>
          <w:szCs w:val="19"/>
          <w:color w:val="auto"/>
        </w:rPr>
        <w:t xml:space="preserve">ECS revenue declined 2.9% YoY, down 8.4% in constant currency. Foreign currency fluctuations contributed a </w:t>
      </w:r>
      <w:r>
        <w:rPr>
          <w:rFonts w:ascii="Times New Roman" w:cs="Times New Roman" w:eastAsia="Times New Roman" w:hAnsi="Times New Roman"/>
          <w:sz w:val="16"/>
          <w:szCs w:val="16"/>
          <w:color w:val="auto"/>
        </w:rPr>
        <w:t>5</w:t>
      </w:r>
      <w:r>
        <w:rPr>
          <w:rFonts w:ascii="Times New Roman" w:cs="Times New Roman" w:eastAsia="Times New Roman" w:hAnsi="Times New Roman"/>
          <w:sz w:val="19"/>
          <w:szCs w:val="19"/>
          <w:color w:val="auto"/>
        </w:rPr>
        <w:t xml:space="preserve"> percentage-point positive impact on ECS revenue in the current period compared with the prior-year period. ECS gross profit margin was 46.9%, a decrease of 80 bps YoY. The decreases in revenue and gross profit margin were primarily driven by the timing of software license renewals.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93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Balance Sheet and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Pr>
          <w:p>
            <w:pPr>
              <w:spacing w:after="0"/>
              <w:rPr>
                <w:sz w:val="17"/>
                <w:szCs w:val="17"/>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7"/>
                <w:szCs w:val="17"/>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20"/>
          <w:szCs w:val="20"/>
          <w:color w:val="auto"/>
        </w:rPr>
        <w:t>Cash and cash equivalents decreased $33.7 million primarily due to the timing of cash interest payment associated with the 10.625% Senior Secured Notes due 2031 (the 2031 Notes).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1Q26</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1Q25</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operations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Pre-pension and postretirement free cash flow</w:t>
            </w:r>
            <w:r>
              <w:rPr>
                <w:rFonts w:ascii="Times New Roman" w:cs="Times New Roman" w:eastAsia="Times New Roman" w:hAnsi="Times New Roman"/>
                <w:sz w:val="23"/>
                <w:szCs w:val="23"/>
                <w:color w:val="auto"/>
                <w:vertAlign w:val="superscript"/>
              </w:rPr>
              <w:t>(10)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0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23"/>
                <w:szCs w:val="23"/>
                <w:color w:val="auto"/>
                <w:vertAlign w:val="superscript"/>
              </w:rPr>
              <w:t>(11)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bl>
    <w:p>
      <w:pPr>
        <w:spacing w:after="0" w:line="130" w:lineRule="exact"/>
        <w:rPr>
          <w:sz w:val="20"/>
          <w:szCs w:val="20"/>
          <w:color w:val="auto"/>
        </w:rPr>
      </w:pPr>
    </w:p>
    <w:p>
      <w:pPr>
        <w:ind w:right="620"/>
        <w:spacing w:after="0" w:line="339" w:lineRule="auto"/>
        <w:rPr>
          <w:sz w:val="20"/>
          <w:szCs w:val="20"/>
          <w:color w:val="auto"/>
        </w:rPr>
      </w:pPr>
      <w:r>
        <w:rPr>
          <w:rFonts w:ascii="Times New Roman" w:cs="Times New Roman" w:eastAsia="Times New Roman" w:hAnsi="Times New Roman"/>
          <w:sz w:val="20"/>
          <w:szCs w:val="20"/>
          <w:color w:val="auto"/>
        </w:rPr>
        <w:t>The decrease in both free cash flow and pre-pension and postretirement free cash flow was primarily due to the timing of cash interest payment related to the 2031 Notes.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Metrics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numbers presented as percentages)</w:t>
            </w:r>
          </w:p>
        </w:tc>
        <w:tc>
          <w:tcPr>
            <w:tcW w:w="24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1Q26</w:t>
            </w: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1Q25</w:t>
            </w:r>
          </w:p>
        </w:tc>
        <w:tc>
          <w:tcPr>
            <w:tcW w:w="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QoQ Change*</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8"/>
                <w:szCs w:val="18"/>
                <w:b w:val="1"/>
                <w:bCs w:val="1"/>
                <w:color w:val="auto"/>
              </w:rPr>
              <w:t>Total Contract Value (TCV)</w:t>
            </w:r>
            <w:r>
              <w:rPr>
                <w:rFonts w:ascii="Times New Roman" w:cs="Times New Roman" w:eastAsia="Times New Roman" w:hAnsi="Times New Roman"/>
                <w:sz w:val="23"/>
                <w:szCs w:val="23"/>
                <w:b w:val="1"/>
                <w:bCs w:val="1"/>
                <w:color w:val="auto"/>
                <w:vertAlign w:val="superscript"/>
              </w:rPr>
              <w:t>(3)</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460"/>
              <w:spacing w:after="0" w:line="230" w:lineRule="exact"/>
              <w:rPr>
                <w:sz w:val="20"/>
                <w:szCs w:val="20"/>
                <w:color w:val="auto"/>
              </w:rPr>
            </w:pPr>
            <w:r>
              <w:rPr>
                <w:rFonts w:ascii="Times New Roman" w:cs="Times New Roman" w:eastAsia="Times New Roman" w:hAnsi="Times New Roman"/>
                <w:sz w:val="18"/>
                <w:szCs w:val="18"/>
                <w:color w:val="auto"/>
              </w:rPr>
              <w:t>New Business</w:t>
            </w:r>
            <w:r>
              <w:rPr>
                <w:rFonts w:ascii="Times New Roman" w:cs="Times New Roman" w:eastAsia="Times New Roman" w:hAnsi="Times New Roman"/>
                <w:sz w:val="23"/>
                <w:szCs w:val="23"/>
                <w:color w:val="auto"/>
                <w:vertAlign w:val="superscript"/>
              </w:rPr>
              <w:t>(5)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Ex-L&amp;S Renewals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L&amp;S Renewals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company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i w:val="1"/>
                <w:iCs w:val="1"/>
                <w:color w:val="auto"/>
              </w:rPr>
              <w:t>*   QoQ - quarter over quarter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9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Backlog</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was $2.96 billion for the first quarter of 2026 compared to $2.89 billion for the first quarter of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2026 Financial Guidance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company reaffirms full-year 2026 revenue growth and profitability guidance: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100" w:type="dxa"/>
            <w:vAlign w:val="bottom"/>
            <w:tcBorders>
              <w:bottom w:val="single" w:sz="8" w:color="CCEEFF"/>
            </w:tcBorders>
          </w:tcPr>
          <w:p>
            <w:pPr>
              <w:spacing w:after="0"/>
              <w:rPr>
                <w:sz w:val="24"/>
                <w:szCs w:val="24"/>
                <w:color w:val="auto"/>
              </w:rPr>
            </w:pPr>
          </w:p>
        </w:tc>
        <w:tc>
          <w:tcPr>
            <w:tcW w:w="4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Guidance</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 to (4.5)%</w:t>
            </w:r>
          </w:p>
        </w:tc>
        <w:tc>
          <w:tcPr>
            <w:tcW w:w="0" w:type="dxa"/>
            <w:vAlign w:val="bottom"/>
          </w:tcPr>
          <w:p>
            <w:pPr>
              <w:spacing w:after="0"/>
              <w:rPr>
                <w:sz w:val="1"/>
                <w:szCs w:val="1"/>
                <w:color w:val="auto"/>
              </w:rPr>
            </w:pPr>
          </w:p>
        </w:tc>
      </w:tr>
      <w:tr>
        <w:trPr>
          <w:trHeight w:val="23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operating profit margin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9.0% to 11.0%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 w:right="460"/>
        <w:spacing w:after="0" w:line="370" w:lineRule="auto"/>
        <w:rPr>
          <w:sz w:val="20"/>
          <w:szCs w:val="20"/>
          <w:color w:val="auto"/>
        </w:rPr>
      </w:pPr>
      <w:r>
        <w:rPr>
          <w:rFonts w:ascii="Times New Roman" w:cs="Times New Roman" w:eastAsia="Times New Roman" w:hAnsi="Times New Roman"/>
          <w:sz w:val="19"/>
          <w:szCs w:val="19"/>
          <w:color w:val="auto"/>
        </w:rPr>
        <w:t>Constant currency revenue guidance translates to reported revenue growth of (3.5)% to (1.5)%, based on exchange rates as of April 30, 2026, and assumes L&amp;S revenue of approximately $415 million and Ex-L&amp;S constant currency revenue growth of (7.0)% to (4.5)%.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9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25" w:lineRule="exact"/>
        <w:rPr>
          <w:sz w:val="20"/>
          <w:szCs w:val="20"/>
          <w:color w:val="auto"/>
        </w:rPr>
      </w:pPr>
    </w:p>
    <w:p>
      <w:pPr>
        <w:ind w:right="260"/>
        <w:spacing w:after="0" w:line="338" w:lineRule="auto"/>
        <w:rPr>
          <w:sz w:val="20"/>
          <w:szCs w:val="20"/>
          <w:color w:val="auto"/>
        </w:rPr>
      </w:pPr>
      <w:r>
        <w:rPr>
          <w:rFonts w:ascii="Times New Roman" w:cs="Times New Roman" w:eastAsia="Times New Roman" w:hAnsi="Times New Roman"/>
          <w:sz w:val="20"/>
          <w:szCs w:val="20"/>
          <w:color w:val="auto"/>
        </w:rPr>
        <w:t>Unisys will hold a conference call with the financial community on Wednesday, May 6, at 8 a.m. Eastern Time to discuss the results of the first quarter of 2026.</w:t>
      </w:r>
    </w:p>
    <w:p>
      <w:pPr>
        <w:ind w:right="540"/>
        <w:spacing w:after="0" w:line="324" w:lineRule="auto"/>
        <w:rPr>
          <w:sz w:val="20"/>
          <w:szCs w:val="20"/>
          <w:color w:val="auto"/>
        </w:rPr>
      </w:pPr>
      <w:r>
        <w:rPr>
          <w:rFonts w:ascii="Times New Roman" w:cs="Times New Roman" w:eastAsia="Times New Roman" w:hAnsi="Times New Roman"/>
          <w:sz w:val="20"/>
          <w:szCs w:val="20"/>
          <w:color w:val="auto"/>
        </w:rPr>
        <w:t>The live, listen-only webcast, as well as the accompanying presentation materials, can be accessed on the Unisys Investor Website at www.unisys.com/investor. In addition, domestic callers can dial 1-844-695-5518 and international callers can dial 1-412-902-6749 and provide the following conference passcode: Unisys Corporation Call.</w:t>
      </w:r>
    </w:p>
    <w:p>
      <w:pPr>
        <w:spacing w:after="0" w:line="14" w:lineRule="exact"/>
        <w:rPr>
          <w:sz w:val="20"/>
          <w:szCs w:val="20"/>
          <w:color w:val="auto"/>
        </w:rPr>
      </w:pPr>
    </w:p>
    <w:p>
      <w:pPr>
        <w:jc w:val="both"/>
        <w:ind w:right="240"/>
        <w:spacing w:after="0" w:line="324" w:lineRule="auto"/>
        <w:rPr>
          <w:sz w:val="20"/>
          <w:szCs w:val="20"/>
          <w:color w:val="auto"/>
        </w:rPr>
      </w:pPr>
      <w:r>
        <w:rPr>
          <w:rFonts w:ascii="Times New Roman" w:cs="Times New Roman" w:eastAsia="Times New Roman" w:hAnsi="Times New Roman"/>
          <w:sz w:val="20"/>
          <w:szCs w:val="20"/>
          <w:color w:val="auto"/>
        </w:rPr>
        <w:t>A webcast replay will be available on the Unisys Investor Website shortly following the conference call. A replay will also be available by dialing 1-855-669-9658 for domestic callers or 1-412-317-0088 for international callers and entering access code 2479208 from two hours after the end of the call until May 20, 2026.</w:t>
      </w:r>
    </w:p>
    <w:p>
      <w:pPr>
        <w:spacing w:after="0" w:line="199" w:lineRule="exact"/>
        <w:rPr>
          <w:sz w:val="20"/>
          <w:szCs w:val="20"/>
          <w:color w:val="auto"/>
        </w:rPr>
      </w:pPr>
    </w:p>
    <w:p>
      <w:pPr>
        <w:ind w:firstLine="8"/>
        <w:spacing w:after="0" w:line="334" w:lineRule="auto"/>
        <w:tabs>
          <w:tab w:leader="none" w:pos="199"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 xml:space="preserve">Constant currency </w:t>
      </w:r>
      <w:r>
        <w:rPr>
          <w:rFonts w:ascii="Times New Roman" w:cs="Times New Roman" w:eastAsia="Times New Roman" w:hAnsi="Times New Roman"/>
          <w:sz w:val="18"/>
          <w:szCs w:val="18"/>
          <w:color w:val="auto"/>
        </w:rPr>
        <w:t>– A significant amount of the company’s revenue is derived from international operations. As a result,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has been and will continue to be affected by changes in the U.S. dollar against major international currencies. The company refers to revenue growth rates in constant currency or on a constant currency basis so that the business results can be viewed without the impact of fluctuations in foreign currency exchange rates to facilitate comparisons of the company’s business performance from one period to another. Constant currency is calculated by retranslating current and prior-period revenue at a consistent exchange rate rather than the actual exchange rates in effect during the respective periods.</w:t>
      </w:r>
    </w:p>
    <w:p>
      <w:pPr>
        <w:spacing w:after="0" w:line="200" w:lineRule="exact"/>
        <w:rPr>
          <w:rFonts w:ascii="Times New Roman" w:cs="Times New Roman" w:eastAsia="Times New Roman" w:hAnsi="Times New Roman"/>
          <w:sz w:val="24"/>
          <w:szCs w:val="24"/>
          <w:color w:val="auto"/>
          <w:vertAlign w:val="superscript"/>
        </w:rPr>
      </w:pPr>
    </w:p>
    <w:p>
      <w:pPr>
        <w:spacing w:after="0" w:line="288" w:lineRule="exact"/>
        <w:rPr>
          <w:rFonts w:ascii="Times New Roman" w:cs="Times New Roman" w:eastAsia="Times New Roman" w:hAnsi="Times New Roman"/>
          <w:sz w:val="24"/>
          <w:szCs w:val="24"/>
          <w:color w:val="auto"/>
          <w:vertAlign w:val="superscript"/>
        </w:rPr>
      </w:pPr>
    </w:p>
    <w:p>
      <w:pPr>
        <w:ind w:firstLine="8"/>
        <w:spacing w:after="0" w:line="361" w:lineRule="auto"/>
        <w:tabs>
          <w:tab w:leader="none" w:pos="182"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b w:val="1"/>
          <w:bCs w:val="1"/>
          <w:color w:val="auto"/>
        </w:rPr>
        <w:t xml:space="preserve">Backlog </w:t>
      </w:r>
      <w:r>
        <w:rPr>
          <w:rFonts w:ascii="Times New Roman" w:cs="Times New Roman" w:eastAsia="Times New Roman" w:hAnsi="Times New Roman"/>
          <w:sz w:val="17"/>
          <w:szCs w:val="17"/>
          <w:color w:val="auto"/>
        </w:rPr>
        <w:t>– Represents the estimated amount of future revenue to be recognized under contracted work, which has not yet been delivered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performed. The company believes that actual revenue reflects the most relevant measure necessary to understand the company’s results of operations, but backlog can be a useful metric and indicator of the company’s estimate of contracted revenue to be realized in the future, subject to certain inherent limitations. The timing of conversion of backlog to revenue may be impacted by, among other factors, the timing of execution, the extension, nullification or early termination of existing contracts with or without penalty, adjustments to estimates in pricing or volumes for previously included contracts, seasonality and foreign currency exchange rates. Investors are cautioned that backlog should not be relied upon as a substitute for, or considered in isolation from, measures in accordance with GAAP.</w:t>
      </w:r>
    </w:p>
    <w:p>
      <w:pPr>
        <w:spacing w:after="0" w:line="200" w:lineRule="exact"/>
        <w:rPr>
          <w:rFonts w:ascii="Times New Roman" w:cs="Times New Roman" w:eastAsia="Times New Roman" w:hAnsi="Times New Roman"/>
          <w:sz w:val="22"/>
          <w:szCs w:val="22"/>
          <w:color w:val="auto"/>
          <w:vertAlign w:val="superscript"/>
        </w:rPr>
      </w:pPr>
    </w:p>
    <w:p>
      <w:pPr>
        <w:spacing w:after="0" w:line="271" w:lineRule="exact"/>
        <w:rPr>
          <w:rFonts w:ascii="Times New Roman" w:cs="Times New Roman" w:eastAsia="Times New Roman" w:hAnsi="Times New Roman"/>
          <w:sz w:val="22"/>
          <w:szCs w:val="22"/>
          <w:color w:val="auto"/>
          <w:vertAlign w:val="superscript"/>
        </w:rPr>
      </w:pPr>
    </w:p>
    <w:p>
      <w:pPr>
        <w:ind w:right="60" w:firstLine="8"/>
        <w:spacing w:after="0" w:line="339" w:lineRule="auto"/>
        <w:tabs>
          <w:tab w:leader="none" w:pos="199"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 xml:space="preserve">Total Contract Value (TCV) </w:t>
      </w:r>
      <w:r>
        <w:rPr>
          <w:rFonts w:ascii="Times New Roman" w:cs="Times New Roman" w:eastAsia="Times New Roman" w:hAnsi="Times New Roman"/>
          <w:sz w:val="18"/>
          <w:szCs w:val="18"/>
          <w:color w:val="auto"/>
        </w:rPr>
        <w:t>– Represents the initial estimated revenue related to contracts signed in the period without regard for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or revenue recognition rules. Changes to contracts and scope are treated as TCV only to the extent of the incremental new value. New Business TCV represents TCV attributable to expansion and new scope for existing clients and new logo contracts. L&amp;S TCV is driven by software license renewals, and as such, changes in timing or terms of renewals can lead to fluctuations from period to period. The company believes that actual revenue reflects the most relevant measure necessary to understand the company’s results of operations, but TCV can be a useful leading indicator of the company’s ability to generate future revenue over time, subject to certain inherent limitations.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 Investors are cautioned that TCV should not be relied upon as a substitute for, or considered in isolation from, measures in accordance with GAAP.</w:t>
      </w:r>
    </w:p>
    <w:p>
      <w:pPr>
        <w:spacing w:after="0" w:line="200" w:lineRule="exact"/>
        <w:rPr>
          <w:rFonts w:ascii="Times New Roman" w:cs="Times New Roman" w:eastAsia="Times New Roman" w:hAnsi="Times New Roman"/>
          <w:sz w:val="24"/>
          <w:szCs w:val="24"/>
          <w:color w:val="auto"/>
          <w:vertAlign w:val="superscript"/>
        </w:rPr>
      </w:pPr>
    </w:p>
    <w:p>
      <w:pPr>
        <w:spacing w:after="0" w:line="288" w:lineRule="exact"/>
        <w:rPr>
          <w:rFonts w:ascii="Times New Roman" w:cs="Times New Roman" w:eastAsia="Times New Roman" w:hAnsi="Times New Roman"/>
          <w:sz w:val="24"/>
          <w:szCs w:val="24"/>
          <w:color w:val="auto"/>
          <w:vertAlign w:val="superscript"/>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b w:val="1"/>
          <w:bCs w:val="1"/>
          <w:color w:val="auto"/>
        </w:rPr>
        <w:t xml:space="preserve">Book-to-bill </w:t>
      </w:r>
      <w:r>
        <w:rPr>
          <w:rFonts w:ascii="Times New Roman" w:cs="Times New Roman" w:eastAsia="Times New Roman" w:hAnsi="Times New Roman"/>
          <w:sz w:val="17"/>
          <w:szCs w:val="17"/>
          <w:color w:val="auto"/>
        </w:rPr>
        <w:t>– Represents total contract value booked divided by revenue in a given period.</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936" w:right="359" w:bottom="1440" w:gutter="0" w:footer="0" w:header="0"/>
        </w:sectPr>
      </w:pPr>
    </w:p>
    <w:bookmarkStart w:id="8" w:name="page9"/>
    <w:bookmarkEnd w:id="8"/>
    <w:p>
      <w:pPr>
        <w:ind w:left="192" w:hanging="192"/>
        <w:spacing w:after="0"/>
        <w:tabs>
          <w:tab w:leader="none" w:pos="192"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 xml:space="preserve">New Business </w:t>
      </w:r>
      <w:r>
        <w:rPr>
          <w:rFonts w:ascii="Times New Roman" w:cs="Times New Roman" w:eastAsia="Times New Roman" w:hAnsi="Times New Roman"/>
          <w:sz w:val="18"/>
          <w:szCs w:val="18"/>
          <w:color w:val="auto"/>
        </w:rPr>
        <w:t>– Represents expansion and new scope for existing clients and new logo contracts.</w:t>
      </w:r>
    </w:p>
    <w:p>
      <w:pPr>
        <w:spacing w:after="0" w:line="277" w:lineRule="exact"/>
        <w:rPr>
          <w:rFonts w:ascii="Times New Roman" w:cs="Times New Roman" w:eastAsia="Times New Roman" w:hAnsi="Times New Roman"/>
          <w:sz w:val="24"/>
          <w:szCs w:val="24"/>
          <w:color w:val="auto"/>
          <w:vertAlign w:val="superscript"/>
        </w:rPr>
      </w:pPr>
    </w:p>
    <w:p>
      <w:pPr>
        <w:ind w:left="-8" w:firstLine="8"/>
        <w:spacing w:after="0" w:line="322" w:lineRule="auto"/>
        <w:tabs>
          <w:tab w:leader="none" w:pos="191"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 xml:space="preserve">Non-GAAP operating profit </w:t>
      </w:r>
      <w:r>
        <w:rPr>
          <w:rFonts w:ascii="Times New Roman" w:cs="Times New Roman" w:eastAsia="Times New Roman" w:hAnsi="Times New Roman"/>
          <w:sz w:val="18"/>
          <w:szCs w:val="18"/>
          <w:color w:val="auto"/>
        </w:rPr>
        <w:t>– This measure excludes pretax pension and postretirement expense, pretax goodwill impairment charge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pretax charges or gains associated with certain legal matters related to settlements, professional services and legal fees, including legal defense costs, associated with certain legal proceedings, and cost-reduction activities and other expenses.</w:t>
      </w:r>
    </w:p>
    <w:p>
      <w:pPr>
        <w:spacing w:after="0" w:line="208" w:lineRule="exact"/>
        <w:rPr>
          <w:rFonts w:ascii="Times New Roman" w:cs="Times New Roman" w:eastAsia="Times New Roman" w:hAnsi="Times New Roman"/>
          <w:sz w:val="24"/>
          <w:szCs w:val="24"/>
          <w:color w:val="auto"/>
          <w:vertAlign w:val="superscript"/>
        </w:rPr>
      </w:pPr>
    </w:p>
    <w:p>
      <w:pPr>
        <w:ind w:left="-8" w:firstLine="8"/>
        <w:spacing w:after="0" w:line="361" w:lineRule="auto"/>
        <w:tabs>
          <w:tab w:leader="none" w:pos="174"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b w:val="1"/>
          <w:bCs w:val="1"/>
          <w:color w:val="auto"/>
        </w:rPr>
        <w:t xml:space="preserve">EBITDA &amp; adjusted EBITDA </w:t>
      </w:r>
      <w:r>
        <w:rPr>
          <w:rFonts w:ascii="Times New Roman" w:cs="Times New Roman" w:eastAsia="Times New Roman" w:hAnsi="Times New Roman"/>
          <w:sz w:val="17"/>
          <w:szCs w:val="17"/>
          <w:color w:val="auto"/>
        </w:rPr>
        <w:t>– Earnings before interest, taxes, depreciation and amortization (EBITDA) is calculated by starting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income (loss) attributable to Unisys Corporation common shareholders and adding or subtracting the following items: net income (loss) attributable to noncontrolling interests, interest expense (net of interest income), provision for (benefit from) income taxes, depreciation and amortization. Adjusted EBITDA further excludes pension and postretirement expense; goodwill impairment charge, foreign exchange (gains) losses, debt extinguishment, certain legal matters related to settlements, professional services and legal fees, including legal defense costs, associated with certain legal proceedings; environmental matters related to previously disposed businesses; cost-reduction activities and other expenses; non-cash share-based expense; and other (income) expense adjustments.</w:t>
      </w:r>
    </w:p>
    <w:p>
      <w:pPr>
        <w:spacing w:after="0" w:line="200" w:lineRule="exact"/>
        <w:rPr>
          <w:rFonts w:ascii="Times New Roman" w:cs="Times New Roman" w:eastAsia="Times New Roman" w:hAnsi="Times New Roman"/>
          <w:sz w:val="22"/>
          <w:szCs w:val="22"/>
          <w:color w:val="auto"/>
          <w:vertAlign w:val="superscript"/>
        </w:rPr>
      </w:pPr>
    </w:p>
    <w:p>
      <w:pPr>
        <w:spacing w:after="0" w:line="271" w:lineRule="exact"/>
        <w:rPr>
          <w:rFonts w:ascii="Times New Roman" w:cs="Times New Roman" w:eastAsia="Times New Roman" w:hAnsi="Times New Roman"/>
          <w:sz w:val="22"/>
          <w:szCs w:val="22"/>
          <w:color w:val="auto"/>
          <w:vertAlign w:val="superscript"/>
        </w:rPr>
      </w:pPr>
    </w:p>
    <w:p>
      <w:pPr>
        <w:ind w:left="-8" w:right="40" w:firstLine="8"/>
        <w:spacing w:after="0" w:line="334" w:lineRule="auto"/>
        <w:tabs>
          <w:tab w:leader="none" w:pos="191"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 xml:space="preserve">Non-GAAP net income (loss) and non-GAAP diluted earnings (loss) per share </w:t>
      </w:r>
      <w:r>
        <w:rPr>
          <w:rFonts w:ascii="Times New Roman" w:cs="Times New Roman" w:eastAsia="Times New Roman" w:hAnsi="Times New Roman"/>
          <w:sz w:val="18"/>
          <w:szCs w:val="18"/>
          <w:color w:val="auto"/>
        </w:rPr>
        <w:t>– These measures exclude pension and postretirement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and charges or (credits) in connection with goodwill impairment; foreign exchange (gains) losses, debt extinguishment, certain legal matters related to settlements, professional services and legal fees, including legal defense costs, associated with certain legal proceedings; environmental matters related to previously disposed businesses; and cost-reduction activities and other expenses. The tax amounts related to these items for the calculation of non-GAAP diluted earnings (loss) per share include the current and deferred tax expense and benefits recognized under GAAP for these items.</w:t>
      </w:r>
    </w:p>
    <w:p>
      <w:pPr>
        <w:spacing w:after="0" w:line="200" w:lineRule="exact"/>
        <w:rPr>
          <w:rFonts w:ascii="Times New Roman" w:cs="Times New Roman" w:eastAsia="Times New Roman" w:hAnsi="Times New Roman"/>
          <w:sz w:val="24"/>
          <w:szCs w:val="24"/>
          <w:color w:val="auto"/>
          <w:vertAlign w:val="superscript"/>
        </w:rPr>
      </w:pPr>
    </w:p>
    <w:p>
      <w:pPr>
        <w:spacing w:after="0" w:line="275" w:lineRule="exact"/>
        <w:rPr>
          <w:rFonts w:ascii="Times New Roman" w:cs="Times New Roman" w:eastAsia="Times New Roman" w:hAnsi="Times New Roman"/>
          <w:sz w:val="24"/>
          <w:szCs w:val="24"/>
          <w:color w:val="auto"/>
          <w:vertAlign w:val="superscript"/>
        </w:rPr>
      </w:pPr>
    </w:p>
    <w:p>
      <w:pPr>
        <w:ind w:left="192" w:hanging="192"/>
        <w:spacing w:after="0"/>
        <w:tabs>
          <w:tab w:leader="none" w:pos="192"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 Represents cash flow from operations less capital expenditures.</w:t>
      </w:r>
    </w:p>
    <w:p>
      <w:pPr>
        <w:spacing w:after="0" w:line="264" w:lineRule="exact"/>
        <w:rPr>
          <w:rFonts w:ascii="Times New Roman" w:cs="Times New Roman" w:eastAsia="Times New Roman" w:hAnsi="Times New Roman"/>
          <w:sz w:val="24"/>
          <w:szCs w:val="24"/>
          <w:color w:val="auto"/>
          <w:vertAlign w:val="superscript"/>
        </w:rPr>
      </w:pPr>
    </w:p>
    <w:p>
      <w:pPr>
        <w:ind w:left="272" w:hanging="272"/>
        <w:spacing w:after="0"/>
        <w:tabs>
          <w:tab w:leader="none" w:pos="272"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 xml:space="preserve">Pre-pension and postretirement free cash flow </w:t>
      </w:r>
      <w:r>
        <w:rPr>
          <w:rFonts w:ascii="Times New Roman" w:cs="Times New Roman" w:eastAsia="Times New Roman" w:hAnsi="Times New Roman"/>
          <w:sz w:val="18"/>
          <w:szCs w:val="18"/>
          <w:color w:val="auto"/>
        </w:rPr>
        <w:t>– Represents free cash flow before pension and postretirement contributions.</w:t>
      </w:r>
    </w:p>
    <w:p>
      <w:pPr>
        <w:spacing w:after="0" w:line="277" w:lineRule="exact"/>
        <w:rPr>
          <w:rFonts w:ascii="Times New Roman" w:cs="Times New Roman" w:eastAsia="Times New Roman" w:hAnsi="Times New Roman"/>
          <w:sz w:val="24"/>
          <w:szCs w:val="24"/>
          <w:color w:val="auto"/>
          <w:vertAlign w:val="superscript"/>
        </w:rPr>
      </w:pPr>
    </w:p>
    <w:p>
      <w:pPr>
        <w:ind w:left="-8" w:right="80" w:firstLine="8"/>
        <w:spacing w:after="0" w:line="353" w:lineRule="auto"/>
        <w:tabs>
          <w:tab w:leader="none" w:pos="25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b w:val="1"/>
          <w:bCs w:val="1"/>
          <w:color w:val="auto"/>
        </w:rPr>
        <w:t xml:space="preserve">Adjusted free cash flow </w:t>
      </w:r>
      <w:r>
        <w:rPr>
          <w:rFonts w:ascii="Times New Roman" w:cs="Times New Roman" w:eastAsia="Times New Roman" w:hAnsi="Times New Roman"/>
          <w:sz w:val="17"/>
          <w:szCs w:val="17"/>
          <w:color w:val="auto"/>
        </w:rPr>
        <w:t>– Represents free cash flow less cash used for pension and postretirement funding; debt extinguishment,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 matters related to settlements, professional services and legal fees, including legal defense costs, associated with certain legal proceedings; environmental matters related to previously disposed businesses; and cost-reduction activities and other payments.</w:t>
      </w:r>
    </w:p>
    <w:p>
      <w:pPr>
        <w:spacing w:after="0" w:line="186" w:lineRule="exact"/>
        <w:rPr>
          <w:rFonts w:ascii="Times New Roman" w:cs="Times New Roman" w:eastAsia="Times New Roman" w:hAnsi="Times New Roman"/>
          <w:sz w:val="22"/>
          <w:szCs w:val="22"/>
          <w:color w:val="auto"/>
          <w:vertAlign w:val="superscript"/>
        </w:rPr>
      </w:pPr>
    </w:p>
    <w:p>
      <w:pPr>
        <w:ind w:left="-8" w:right="540" w:firstLine="8"/>
        <w:spacing w:after="0" w:line="376" w:lineRule="auto"/>
        <w:tabs>
          <w:tab w:leader="none" w:pos="25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b w:val="1"/>
          <w:bCs w:val="1"/>
          <w:color w:val="auto"/>
        </w:rPr>
        <w:t xml:space="preserve">License and Support (L&amp;S) </w:t>
      </w:r>
      <w:r>
        <w:rPr>
          <w:rFonts w:ascii="Times New Roman" w:cs="Times New Roman" w:eastAsia="Times New Roman" w:hAnsi="Times New Roman"/>
          <w:sz w:val="17"/>
          <w:szCs w:val="17"/>
          <w:color w:val="auto"/>
        </w:rPr>
        <w:t>– Represents software license and related support services, primarily ClearPath Forward®, within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ECS segment.</w:t>
      </w:r>
    </w:p>
    <w:p>
      <w:pPr>
        <w:spacing w:after="0" w:line="134" w:lineRule="exact"/>
        <w:rPr>
          <w:rFonts w:ascii="Times New Roman" w:cs="Times New Roman" w:eastAsia="Times New Roman" w:hAnsi="Times New Roman"/>
          <w:sz w:val="22"/>
          <w:szCs w:val="22"/>
          <w:color w:val="auto"/>
          <w:vertAlign w:val="superscript"/>
        </w:rPr>
      </w:pPr>
    </w:p>
    <w:p>
      <w:pPr>
        <w:ind w:left="-8" w:right="20" w:firstLine="8"/>
        <w:spacing w:after="0" w:line="358" w:lineRule="auto"/>
        <w:tabs>
          <w:tab w:leader="none" w:pos="25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b w:val="1"/>
          <w:bCs w:val="1"/>
          <w:color w:val="auto"/>
        </w:rPr>
        <w:t xml:space="preserve">Excluding License and Support (Ex-L&amp;S) </w:t>
      </w:r>
      <w:r>
        <w:rPr>
          <w:rFonts w:ascii="Times New Roman" w:cs="Times New Roman" w:eastAsia="Times New Roman" w:hAnsi="Times New Roman"/>
          <w:sz w:val="17"/>
          <w:szCs w:val="17"/>
          <w:color w:val="auto"/>
        </w:rPr>
        <w:t>– These measures exclude revenue, gross profit and gross profit margin in connection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software license and support services within the company’s ECS segment. The company provides these measures to allow investors to isolate the impact of software license renewals, which tend to be significant and impactful based on timing, and related support services in order to evaluate the company’s business outside of these areas.</w:t>
      </w: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12"/>
          </w:cols>
          <w:pgMar w:left="328" w:top="76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20"/>
          <w:szCs w:val="20"/>
          <w:color w:val="auto"/>
        </w:rPr>
        <w:t>This release contains forward-looking statements within the meaning of Section 27A of the Securities Act of 1933, as amended, Section 21E of the Securities Exchange Act of 1934, as amended, and the Private Securities Litigation Reform Act of 1995. Unisys cautions readers that the assumptions forming the basis for forward-looking statements include many factors that are beyond Unisys’ ability to control or estimate precisely, such as estimates of future market conditions, the behavior of other market participants and that TCV is based, in part, on the assumption that each of those contracts will continue for their full contracted term.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upon Unisys. There can be no assurance that future developments will be in accordance with management’s expectations, assumptions and beliefs or that the effect of future developments on Unisys will be those anticipated by management. Because actual results may differ materially from those expressed or implied by these forward-looking statements, we caution readers not to place undue reliance on these statements. Forward-looking statements in this release and the accompanying presentation include, but are not limited to, statements made in Mr. Thomson's and Ms. McCann's quotations, any projections or expectations of revenue growth, margin expansion, achievement of operational efficiencies and savings, effective use of technology, investments in our solutions and artificial intelligence adoption and innovation, TCV and Ex-L&amp;S New Business TCV, the impact of new logo signings, backlog, book-to-bill</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full-year 2026 revenue growth and profitability guidance, including constant currency revenue, Ex-L&amp;S constant currency revenue growth, L&amp;S revenue, non-GAAP operating profit margin, free cash flow generation and the assumptions and other expectations made in connection with our full-year 2026 financial guidance, the reduction of uncertainty and volatility of cash requirements, including pension contributions, our pension liability, debt extinguishment, future economic benefits from net operating losses and statements regarding future economic conditions or performance.</w:t>
      </w:r>
    </w:p>
    <w:p>
      <w:pPr>
        <w:spacing w:after="0" w:line="34"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20"/>
          <w:szCs w:val="20"/>
          <w:color w:val="auto"/>
        </w:rPr>
        <w:t>Additional information and factors that could cause actual results to differ materially from Unisys’ expectations are contained in Unisys’ filings with the U.S. Securities and Exchange Commission (SEC), including Unisys’ Annual Reports on Form 10-K and subsequent Quarterly Reports on Form 10-Q, recent Current Reports on Form 8-K, and other SEC filings, which are available at the SEC’s web site, http://www.sec.gov. Information included in this release is representative as of the date of this release only, and any forward-looking statement speaks only as of the date on which that statement is made. While Unisys periodically reassesses material trends and uncertainties affecting Unisys’ results of operations and financial condition in connection with its preparation of management's discussion and analysis of results of operations and financial condition contained in its Quarterly and Annual Reports filed with the SEC, Unisys does not, by including this statement, assume any obligation to review, revise or update any forward-looking statement in light of future events or circumstances, except as required by applicable law.</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20" w:top="82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Non-GAAP Information</w:t>
      </w:r>
    </w:p>
    <w:p>
      <w:pPr>
        <w:spacing w:after="0" w:line="12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0"/>
          <w:szCs w:val="20"/>
          <w:color w:val="auto"/>
        </w:rPr>
        <w:t>This release includes certain non-GAAP financial measures that exclude certain items such as pension and postretirement expense; goodwill impairment charge, foreign exchange (gains) losses, debt extinguishment, certain legal and other matters related to professional services and legal fees, including legal defense costs, associated with certain legal proceedings; environmental matters related to previously disposed businesses; and cost-reduction activities and other expenses that the company believes are not indicative of its ongoing operations, as they may be unusual or non-recurring. The inclusion of such items in financial measures can make the company’s profitability and liquidity results difficult to compare to prior periods or anticipated future periods and can distort the visibility of trends associated with the company’s ongoing performance. Management also believes that non-GAAP measures are useful to investors because they provide supplemental information about the company’s financial performance and liquidity, as well as greater transparency into management’s view and assessment of the company’s ongoing operating performance.</w:t>
      </w:r>
    </w:p>
    <w:p>
      <w:pPr>
        <w:spacing w:after="0" w:line="28"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20"/>
          <w:szCs w:val="20"/>
          <w:color w:val="auto"/>
        </w:rPr>
        <w:t>Non-GAAP financial measures are often provided and utilized by the company’s management, analysts, and investors to enhance comparability of year-over-year results. These items are uncertain, depend on various factors, and could have a material impact on the company's GAAP results for the applicable period. These measures should not be relied upon as substitutes for, or considered in isolation from, measures calculated in accordance with U.S. GAAP. A reconciliation of these non-GAAP financial measures to the most directly comparable financial measures calculated and reported in accordance with GAAP can be found below except for financial guidance and other forward-looking information since such a reconciliation is not practicable without unreasonable efforts as the company is unable to reasonably forecast certain amounts that are necessary for such reconciliation. This information has been provided pursuant to the requirements of SEC Regulation 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7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About Unisys</w:t>
      </w:r>
    </w:p>
    <w:p>
      <w:pPr>
        <w:spacing w:after="0" w:line="125"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20"/>
          <w:szCs w:val="20"/>
          <w:color w:val="auto"/>
        </w:rPr>
        <w:t>Unisys is a global technology solutions company that powers breakthroughs for the world's leading organizations. Our solutions – cloud, AI, digital workplace, applications and enterprise computing – help our clients challenge the status quo and unlock their full potential. To learn how we have been helping clients push what's possible for more than 150 years, visit unisys.com and follow us on LinkedIn.</w:t>
      </w:r>
    </w:p>
    <w:p>
      <w:pPr>
        <w:spacing w:after="0" w:line="1" w:lineRule="exact"/>
        <w:rPr>
          <w:sz w:val="20"/>
          <w:szCs w:val="20"/>
          <w:color w:val="auto"/>
        </w:rPr>
      </w:pPr>
    </w:p>
    <w:p>
      <w:pPr>
        <w:ind w:left="20"/>
        <w:spacing w:after="0"/>
        <w:tabs>
          <w:tab w:leader="none" w:pos="2320" w:val="left"/>
        </w:tabs>
        <w:rPr>
          <w:sz w:val="20"/>
          <w:szCs w:val="20"/>
          <w:color w:val="auto"/>
        </w:rPr>
      </w:pPr>
      <w:r>
        <w:rPr>
          <w:rFonts w:ascii="Times New Roman" w:cs="Times New Roman" w:eastAsia="Times New Roman" w:hAnsi="Times New Roman"/>
          <w:sz w:val="20"/>
          <w:szCs w:val="20"/>
          <w:b w:val="1"/>
          <w:bCs w:val="1"/>
          <w:color w:val="auto"/>
        </w:rPr>
        <w:t>Contacts:</w:t>
      </w:r>
      <w:r>
        <w:rPr>
          <w:sz w:val="20"/>
          <w:szCs w:val="20"/>
          <w:color w:val="auto"/>
        </w:rPr>
        <w:tab/>
      </w:r>
      <w:r>
        <w:rPr>
          <w:rFonts w:ascii="Times New Roman" w:cs="Times New Roman" w:eastAsia="Times New Roman" w:hAnsi="Times New Roman"/>
          <w:sz w:val="20"/>
          <w:szCs w:val="20"/>
          <w:color w:val="auto"/>
        </w:rPr>
        <w:t>For Investors:</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Michaela Pewarski, Unisys, +1 215-274-1254</w:t>
      </w:r>
    </w:p>
    <w:p>
      <w:pPr>
        <w:spacing w:after="0" w:line="4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Investor@unisys.com</w:t>
      </w:r>
    </w:p>
    <w:p>
      <w:pPr>
        <w:spacing w:after="0" w:line="31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For Press:</w:t>
      </w:r>
    </w:p>
    <w:p>
      <w:pPr>
        <w:spacing w:after="0" w:line="4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Patricia Gonzalez, Unisys, +1 817-846-7662</w:t>
      </w:r>
    </w:p>
    <w:p>
      <w:pPr>
        <w:spacing w:after="0" w:line="4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Patricia.Gonzalez@unisys.com</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NO.: 0505/10049</w:t>
      </w:r>
    </w:p>
    <w:p>
      <w:pPr>
        <w:spacing w:after="0" w:line="1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Unisys and other Unisys products and services mentioned herein, as well as their respective logos, are trademarks or registered trademarks of Unisys Corporation. Any other brand or product referenced herein is acknowledged to be a trademark or registered trademark of its respective holder.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UIS-Q</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774"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data)</w:t>
      </w:r>
    </w:p>
    <w:p>
      <w:pPr>
        <w:spacing w:after="0" w:line="366"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Unisys Corporation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8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 attributable to Unisys Corporation</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r>
      <w:tr>
        <w:trPr>
          <w:trHeight w:val="223"/>
        </w:trPr>
        <w:tc>
          <w:tcPr>
            <w:tcW w:w="8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48"/>
        </w:trPr>
        <w:tc>
          <w:tcPr>
            <w:tcW w:w="8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792"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3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DWS</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CA&amp;I</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ECS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percent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percent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EXCLUDING LICENSE AND SUPPORT (EX-L&amp;S) REVENUE AND GROSS PROFIT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r>
      <w:tr>
        <w:trPr>
          <w:trHeight w:val="223"/>
        </w:trPr>
        <w:tc>
          <w:tcPr>
            <w:tcW w:w="8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L&amp;S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Ex-L&amp;S revenue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361.0</w:t>
            </w:r>
          </w:p>
        </w:tc>
      </w:tr>
      <w:tr>
        <w:trPr>
          <w:trHeight w:val="248"/>
        </w:trPr>
        <w:tc>
          <w:tcPr>
            <w:tcW w:w="8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L&amp;S gross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Ex-L&amp;S gross profit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64.2</w:t>
            </w:r>
          </w:p>
        </w:tc>
      </w:tr>
      <w:tr>
        <w:trPr>
          <w:trHeight w:val="248"/>
        </w:trPr>
        <w:tc>
          <w:tcPr>
            <w:tcW w:w="8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L&amp;S gross profit percent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Ex-L&amp;S gross profit percent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percent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r>
    </w:tbl>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7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428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UNISYS CORPORATION</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42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42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42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29"/>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1,004.0</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 net</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costs, net</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software, net</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pension and postretirement assets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deficit</w:t>
            </w: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vMerge w:val="continue"/>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30"/>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655.9</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pension and postretirement liabilities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Unisys Corporation stockholders' deficit</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4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deficit</w:t>
            </w:r>
          </w:p>
        </w:tc>
        <w:tc>
          <w:tcPr>
            <w:tcW w:w="4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1,846.2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060"/>
          </w:cols>
          <w:pgMar w:left="420" w:top="765" w:right="4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54"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consolidated net loss to net cash (used for)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gains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stock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properties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capitalized contract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marketable software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non-cash operating activities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Pension and postretirement contributions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Pension and postretirement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Receivables, net and contract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9"/>
        </w:trPr>
        <w:tc>
          <w:tcPr>
            <w:tcW w:w="8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8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9"/>
        </w:trPr>
        <w:tc>
          <w:tcPr>
            <w:tcW w:w="8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current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13"/>
        </w:trPr>
        <w:tc>
          <w:tcPr>
            <w:tcW w:w="8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2"/>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for)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r>
      <w:tr>
        <w:trPr>
          <w:trHeight w:val="19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8"/>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foreign exchange forward contracts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w:t>
            </w: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foreign exchange forward contracts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(728.9)</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 in marketable software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additions of properties and other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for investing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r>
      <w:tr>
        <w:trPr>
          <w:trHeight w:val="19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8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8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8"/>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for financing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r>
      <w:tr>
        <w:trPr>
          <w:trHeight w:val="211"/>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r>
      <w:tr>
        <w:trPr>
          <w:trHeight w:val="208"/>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increase in cash, cash equivalents and restricted cash</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r>
      <w:tr>
        <w:trPr>
          <w:trHeight w:val="21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390.6</w:t>
            </w:r>
          </w:p>
        </w:tc>
      </w:tr>
      <w:tr>
        <w:trPr>
          <w:trHeight w:val="211"/>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407.5</w:t>
            </w:r>
          </w:p>
        </w:tc>
      </w:tr>
      <w:tr>
        <w:trPr>
          <w:trHeight w:val="21"/>
        </w:trPr>
        <w:tc>
          <w:tcPr>
            <w:tcW w:w="8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80"/>
          </w:cols>
          <w:pgMar w:left="400" w:top="765" w:right="4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4860" w:type="dxa"/>
            <w:vAlign w:val="bottom"/>
            <w:gridSpan w:val="2"/>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UNISYS CORPORATION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9160" w:type="dxa"/>
            <w:vAlign w:val="bottom"/>
            <w:gridSpan w:val="3"/>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RECONCILIATIONS OF SELECTED GAAP MEASURES TO NON-GAAP MEASURES</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4860" w:type="dxa"/>
            <w:vAlign w:val="bottom"/>
            <w:gridSpan w:val="2"/>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4860" w:type="dxa"/>
            <w:vAlign w:val="bottom"/>
            <w:gridSpan w:val="2"/>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9"/>
              </w:rPr>
              <w:t>(Millions, except per share data)</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302"/>
        </w:trPr>
        <w:tc>
          <w:tcPr>
            <w:tcW w:w="4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3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Unisys Corporation</w:t>
            </w:r>
          </w:p>
        </w:tc>
        <w:tc>
          <w:tcPr>
            <w:tcW w:w="4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48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pretax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430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430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ind w:left="23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gains, net</w:t>
            </w:r>
          </w:p>
        </w:tc>
        <w:tc>
          <w:tcPr>
            <w:tcW w:w="460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pretax</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300" w:type="dxa"/>
            <w:vAlign w:val="bottom"/>
          </w:tcPr>
          <w:p>
            <w:pPr>
              <w:spacing w:after="0"/>
              <w:rPr>
                <w:sz w:val="19"/>
                <w:szCs w:val="19"/>
                <w:color w:val="auto"/>
              </w:rPr>
            </w:pPr>
          </w:p>
        </w:tc>
        <w:tc>
          <w:tcPr>
            <w:tcW w:w="48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46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pretax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0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ind w:left="23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legal matters, net</w:t>
            </w:r>
          </w:p>
        </w:tc>
        <w:tc>
          <w:tcPr>
            <w:tcW w:w="460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pretax</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300" w:type="dxa"/>
            <w:vAlign w:val="bottom"/>
          </w:tcPr>
          <w:p>
            <w:pPr>
              <w:spacing w:after="0"/>
              <w:rPr>
                <w:sz w:val="19"/>
                <w:szCs w:val="19"/>
                <w:color w:val="auto"/>
              </w:rPr>
            </w:pPr>
          </w:p>
        </w:tc>
        <w:tc>
          <w:tcPr>
            <w:tcW w:w="48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46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pretax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30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ind w:left="23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reduction and other expenses</w:t>
            </w:r>
          </w:p>
        </w:tc>
        <w:tc>
          <w:tcPr>
            <w:tcW w:w="460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pretax</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4300" w:type="dxa"/>
            <w:vAlign w:val="bottom"/>
          </w:tcPr>
          <w:p>
            <w:pPr>
              <w:spacing w:after="0"/>
              <w:rPr>
                <w:sz w:val="19"/>
                <w:szCs w:val="19"/>
                <w:color w:val="auto"/>
              </w:rPr>
            </w:pPr>
          </w:p>
        </w:tc>
        <w:tc>
          <w:tcPr>
            <w:tcW w:w="48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88"/>
        </w:trPr>
        <w:tc>
          <w:tcPr>
            <w:tcW w:w="43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43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Non-GAAP net loss attributable to Unisys Corporation</w:t>
            </w:r>
          </w:p>
        </w:tc>
        <w:tc>
          <w:tcPr>
            <w:tcW w:w="4860" w:type="dxa"/>
            <w:vAlign w:val="bottom"/>
            <w:gridSpan w:val="2"/>
            <w:shd w:val="clear" w:color="auto" w:fill="CCEEFF"/>
          </w:tcPr>
          <w:p>
            <w:pPr>
              <w:ind w:left="460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3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(thousands)</w:t>
            </w:r>
          </w:p>
        </w:tc>
        <w:tc>
          <w:tcPr>
            <w:tcW w:w="4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70,106</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 assumed vesting:</w:t>
            </w: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12343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weighted average shares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Plus incremental shares from assumed vesting: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plans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70,106</w:t>
            </w:r>
          </w:p>
        </w:tc>
      </w:tr>
      <w:tr>
        <w:trPr>
          <w:trHeight w:val="20"/>
        </w:trPr>
        <w:tc>
          <w:tcPr>
            <w:tcW w:w="2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3"/>
        </w:trPr>
        <w:tc>
          <w:tcPr>
            <w:tcW w:w="2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-307975</wp:posOffset>
            </wp:positionV>
            <wp:extent cx="712343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0</wp:posOffset>
            </wp:positionV>
            <wp:extent cx="71234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940" w:space="720"/>
            <w:col w:w="4560"/>
          </w:cols>
          <w:pgMar w:left="34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58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Employee stock plans</w:t>
            </w:r>
          </w:p>
        </w:tc>
        <w:tc>
          <w:tcPr>
            <w:tcW w:w="3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9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adjusted weighted average shares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0"/>
        </w:trPr>
        <w:tc>
          <w:tcPr>
            <w:tcW w:w="8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 attributable to Unisys Corporation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Divided by adjusted weighted average shares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70,106</w:t>
            </w:r>
          </w:p>
        </w:tc>
      </w:tr>
      <w:tr>
        <w:trPr>
          <w:trHeight w:val="223"/>
        </w:trPr>
        <w:tc>
          <w:tcPr>
            <w:tcW w:w="8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890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Non-GAAP basis</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Non-GAAP net loss attributable to Unisys Corporation for diluted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Divided by Non-GAAP adjusted weighted average shares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70,106</w:t>
            </w:r>
          </w:p>
        </w:tc>
      </w:tr>
      <w:tr>
        <w:trPr>
          <w:trHeight w:val="223"/>
        </w:trPr>
        <w:tc>
          <w:tcPr>
            <w:tcW w:w="8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loss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40" w:top="765" w:right="339" w:bottom="1440" w:gutter="0" w:footer="0" w:header="0"/>
          <w:type w:val="continuous"/>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RECONCILIATIONS OF GAAP TO NON-GAAP</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4960" w:type="dxa"/>
            <w:vAlign w:val="bottom"/>
            <w:gridSpan w:val="4"/>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22"/>
        </w:trPr>
        <w:tc>
          <w:tcPr>
            <w:tcW w:w="4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for) provided by operations</w:t>
            </w:r>
          </w:p>
        </w:tc>
        <w:tc>
          <w:tcPr>
            <w:tcW w:w="4760" w:type="dxa"/>
            <w:vAlign w:val="bottom"/>
            <w:gridSpan w:val="3"/>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marketable software</w:t>
            </w: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properties and other assets</w:t>
            </w: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funding</w:t>
            </w: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Pre-pension and postretirement free cash flow</w:t>
            </w: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legal payments</w:t>
            </w: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 payments</w:t>
            </w: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reduction and other payments, net</w:t>
            </w: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4760" w:type="dxa"/>
            <w:vAlign w:val="bottom"/>
            <w:gridSpan w:val="3"/>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r>
      <w:tr>
        <w:trPr>
          <w:trHeight w:val="20"/>
        </w:trPr>
        <w:tc>
          <w:tcPr>
            <w:tcW w:w="4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40" w:top="765"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RECONCILIATIONS OF GAAP TO NON-GAAP</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860" w:type="dxa"/>
            <w:vAlign w:val="bottom"/>
            <w:gridSpan w:val="3"/>
          </w:tcPr>
          <w:p>
            <w:pPr>
              <w:jc w:val="right"/>
              <w:ind w:right="3090"/>
              <w:spacing w:after="0"/>
              <w:rPr>
                <w:sz w:val="20"/>
                <w:szCs w:val="20"/>
                <w:color w:val="auto"/>
              </w:rPr>
            </w:pPr>
            <w:r>
              <w:rPr>
                <w:rFonts w:ascii="Times New Roman" w:cs="Times New Roman" w:eastAsia="Times New Roman" w:hAnsi="Times New Roman"/>
                <w:sz w:val="18"/>
                <w:szCs w:val="18"/>
                <w:b w:val="1"/>
                <w:bCs w:val="1"/>
                <w:color w:val="auto"/>
                <w:w w:val="95"/>
              </w:rPr>
              <w:t>EBITDA</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22"/>
        </w:trPr>
        <w:tc>
          <w:tcPr>
            <w:tcW w:w="5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Unisys Corporation</w:t>
            </w:r>
          </w:p>
        </w:tc>
        <w:tc>
          <w:tcPr>
            <w:tcW w:w="364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 xml:space="preserve">Interest expense, net of interest income of $4.9 and $5.7, respectively </w:t>
            </w:r>
            <w:r>
              <w:rPr>
                <w:rFonts w:ascii="Times New Roman" w:cs="Times New Roman" w:eastAsia="Times New Roman" w:hAnsi="Times New Roman"/>
                <w:sz w:val="23"/>
                <w:szCs w:val="23"/>
                <w:color w:val="auto"/>
                <w:w w:val="99"/>
                <w:vertAlign w:val="superscript"/>
              </w:rPr>
              <w:t>(1)</w:t>
            </w:r>
          </w:p>
        </w:tc>
        <w:tc>
          <w:tcPr>
            <w:tcW w:w="6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68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38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5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net </w:t>
            </w:r>
            <w:r>
              <w:rPr>
                <w:rFonts w:ascii="Times New Roman" w:cs="Times New Roman" w:eastAsia="Times New Roman" w:hAnsi="Times New Roman"/>
                <w:sz w:val="23"/>
                <w:szCs w:val="23"/>
                <w:color w:val="auto"/>
                <w:vertAlign w:val="superscript"/>
              </w:rPr>
              <w:t>(1)(2)</w:t>
            </w:r>
          </w:p>
        </w:tc>
        <w:tc>
          <w:tcPr>
            <w:tcW w:w="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debt extinguishment </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Certain legal matters, net </w:t>
            </w:r>
            <w:r>
              <w:rPr>
                <w:rFonts w:ascii="Times New Roman" w:cs="Times New Roman" w:eastAsia="Times New Roman" w:hAnsi="Times New Roman"/>
                <w:sz w:val="23"/>
                <w:szCs w:val="23"/>
                <w:color w:val="auto"/>
                <w:vertAlign w:val="superscript"/>
              </w:rPr>
              <w:t>(3)</w:t>
            </w:r>
          </w:p>
        </w:tc>
        <w:tc>
          <w:tcPr>
            <w:tcW w:w="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Environmental matters </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reduction and other expenses </w:t>
            </w:r>
            <w:r>
              <w:rPr>
                <w:rFonts w:ascii="Times New Roman" w:cs="Times New Roman" w:eastAsia="Times New Roman" w:hAnsi="Times New Roman"/>
                <w:sz w:val="23"/>
                <w:szCs w:val="23"/>
                <w:color w:val="auto"/>
                <w:vertAlign w:val="superscript"/>
              </w:rPr>
              <w:t>(4)</w:t>
            </w:r>
          </w:p>
        </w:tc>
        <w:tc>
          <w:tcPr>
            <w:tcW w:w="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 based expense</w:t>
            </w:r>
          </w:p>
        </w:tc>
        <w:tc>
          <w:tcPr>
            <w:tcW w:w="6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5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adjustment </w:t>
            </w:r>
            <w:r>
              <w:rPr>
                <w:rFonts w:ascii="Times New Roman" w:cs="Times New Roman" w:eastAsia="Times New Roman" w:hAnsi="Times New Roman"/>
                <w:sz w:val="23"/>
                <w:szCs w:val="23"/>
                <w:color w:val="auto"/>
                <w:vertAlign w:val="superscript"/>
              </w:rPr>
              <w:t>(5)</w:t>
            </w:r>
          </w:p>
        </w:tc>
        <w:tc>
          <w:tcPr>
            <w:tcW w:w="68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80" w:hanging="167"/>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(expense), net on the consolidated statements of income (loss).</w:t>
      </w:r>
    </w:p>
    <w:p>
      <w:pPr>
        <w:spacing w:after="0" w:line="23" w:lineRule="exact"/>
        <w:rPr>
          <w:rFonts w:ascii="Times New Roman" w:cs="Times New Roman" w:eastAsia="Times New Roman" w:hAnsi="Times New Roman"/>
          <w:sz w:val="21"/>
          <w:szCs w:val="21"/>
          <w:color w:val="auto"/>
          <w:vertAlign w:val="superscript"/>
        </w:rPr>
      </w:pPr>
    </w:p>
    <w:p>
      <w:pPr>
        <w:ind w:left="20" w:right="440" w:hanging="7"/>
        <w:spacing w:after="0" w:line="203" w:lineRule="auto"/>
        <w:tabs>
          <w:tab w:leader="none" w:pos="183"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Foreign exchange (gains) losses include (gains) losses from remeasuring cash, receivables, payables and intercompany balances denominated in foreign currencies, (gains) losses on foreign exchange forward contracts and (gains) losses related to the substantial completion of liquidation of certain foreign subsidiaries. In the third quarter of 2025, the company ceased its use of foreign currency forward contracts.</w:t>
      </w:r>
    </w:p>
    <w:p>
      <w:pPr>
        <w:ind w:left="180" w:hanging="167"/>
        <w:spacing w:after="0" w:line="214"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selling, general and administrative expenses and other (expense), net within the consolidated statements of income (loss).</w:t>
      </w:r>
    </w:p>
    <w:p>
      <w:pPr>
        <w:spacing w:after="0" w:line="24" w:lineRule="exact"/>
        <w:rPr>
          <w:rFonts w:ascii="Times New Roman" w:cs="Times New Roman" w:eastAsia="Times New Roman" w:hAnsi="Times New Roman"/>
          <w:sz w:val="21"/>
          <w:szCs w:val="21"/>
          <w:color w:val="auto"/>
          <w:vertAlign w:val="superscript"/>
        </w:rPr>
      </w:pPr>
    </w:p>
    <w:p>
      <w:pPr>
        <w:ind w:left="180" w:hanging="167"/>
        <w:spacing w:after="0" w:line="191"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Reduced for depreciation and amortization included above.</w:t>
      </w:r>
    </w:p>
    <w:p>
      <w:pPr>
        <w:spacing w:after="0" w:line="23" w:lineRule="exact"/>
        <w:rPr>
          <w:rFonts w:ascii="Times New Roman" w:cs="Times New Roman" w:eastAsia="Times New Roman" w:hAnsi="Times New Roman"/>
          <w:sz w:val="21"/>
          <w:szCs w:val="21"/>
          <w:color w:val="auto"/>
          <w:vertAlign w:val="superscript"/>
        </w:rPr>
      </w:pPr>
    </w:p>
    <w:p>
      <w:pPr>
        <w:ind w:left="20" w:right="160" w:hanging="7"/>
        <w:spacing w:after="0" w:line="199" w:lineRule="auto"/>
        <w:tabs>
          <w:tab w:leader="none" w:pos="183"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expense, net as reported on the consolidated statements of income (loss) less pension and postretirement expense, foreign exchange (gains) losses, net, (gain) loss on debt extinguishment, interest income and items included in certain legal and environmental matters and cost reduction and other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9"/>
                <w:szCs w:val="19"/>
                <w:color w:val="auto"/>
              </w:rPr>
            </w:pPr>
          </w:p>
        </w:tc>
      </w:tr>
      <w:tr>
        <w:trPr>
          <w:trHeight w:val="238"/>
        </w:trPr>
        <w:tc>
          <w:tcPr>
            <w:tcW w:w="8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23"/>
        </w:trPr>
        <w:tc>
          <w:tcPr>
            <w:tcW w:w="8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2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Unisys Corporation as a percentage of revenue</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loss attributable to Unisys Corporation as a percentage of revenue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revenue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40" w:top="765"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Operating profit</w:t>
      </w:r>
    </w:p>
    <w:p>
      <w:pPr>
        <w:ind w:left="7"/>
        <w:spacing w:after="0"/>
        <w:rPr>
          <w:sz w:val="20"/>
          <w:szCs w:val="20"/>
          <w:color w:val="auto"/>
        </w:rPr>
      </w:pPr>
      <w:r>
        <w:rPr>
          <w:rFonts w:ascii="Times New Roman" w:cs="Times New Roman" w:eastAsia="Times New Roman" w:hAnsi="Times New Roman"/>
          <w:sz w:val="18"/>
          <w:szCs w:val="18"/>
          <w:color w:val="auto"/>
        </w:rPr>
        <w:t xml:space="preserve">Certain legal matters </w:t>
      </w:r>
      <w:r>
        <w:rPr>
          <w:rFonts w:ascii="Times New Roman" w:cs="Times New Roman" w:eastAsia="Times New Roman" w:hAnsi="Times New Roman"/>
          <w:sz w:val="23"/>
          <w:szCs w:val="23"/>
          <w:color w:val="auto"/>
          <w:vertAlign w:val="superscript"/>
        </w:rPr>
        <w:t>(1)</w:t>
      </w:r>
    </w:p>
    <w:p>
      <w:pPr>
        <w:ind w:left="7"/>
        <w:spacing w:after="0" w:line="208" w:lineRule="auto"/>
        <w:rPr>
          <w:sz w:val="20"/>
          <w:szCs w:val="20"/>
          <w:color w:val="auto"/>
        </w:rPr>
      </w:pPr>
      <w:r>
        <w:rPr>
          <w:rFonts w:ascii="Times New Roman" w:cs="Times New Roman" w:eastAsia="Times New Roman" w:hAnsi="Times New Roman"/>
          <w:sz w:val="18"/>
          <w:szCs w:val="18"/>
          <w:color w:val="auto"/>
        </w:rPr>
        <w:t xml:space="preserve">Cost reduction and other expenses </w:t>
      </w:r>
      <w:r>
        <w:rPr>
          <w:rFonts w:ascii="Times New Roman" w:cs="Times New Roman" w:eastAsia="Times New Roman" w:hAnsi="Times New Roman"/>
          <w:sz w:val="23"/>
          <w:szCs w:val="23"/>
          <w:color w:val="auto"/>
          <w:vertAlign w:val="superscript"/>
        </w:rPr>
        <w:t>(2)</w:t>
      </w:r>
    </w:p>
    <w:p>
      <w:pPr>
        <w:ind w:left="7"/>
        <w:spacing w:after="0"/>
        <w:rPr>
          <w:sz w:val="20"/>
          <w:szCs w:val="20"/>
          <w:color w:val="auto"/>
        </w:rPr>
      </w:pPr>
      <w:r>
        <w:rPr>
          <w:rFonts w:ascii="Times New Roman" w:cs="Times New Roman" w:eastAsia="Times New Roman" w:hAnsi="Times New Roman"/>
          <w:sz w:val="17"/>
          <w:szCs w:val="17"/>
          <w:color w:val="auto"/>
        </w:rPr>
        <w:t xml:space="preserve">Pension and postretirement expense </w:t>
      </w:r>
      <w:r>
        <w:rPr>
          <w:rFonts w:ascii="Times New Roman" w:cs="Times New Roman" w:eastAsia="Times New Roman" w:hAnsi="Times New Roman"/>
          <w:sz w:val="22"/>
          <w:szCs w:val="22"/>
          <w:color w:val="auto"/>
          <w:vertAlign w:val="superscript"/>
        </w:rPr>
        <w:t>(1)</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Non-GAAP operating profit</w:t>
      </w:r>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Revenue</w:t>
      </w:r>
    </w:p>
    <w:p>
      <w:pPr>
        <w:spacing w:after="0" w:line="293" w:lineRule="exact"/>
        <w:rPr>
          <w:sz w:val="20"/>
          <w:szCs w:val="20"/>
          <w:color w:val="auto"/>
        </w:rPr>
      </w:pPr>
    </w:p>
    <w:p>
      <w:pPr>
        <w:ind w:left="7" w:right="320"/>
        <w:spacing w:after="0" w:line="297" w:lineRule="auto"/>
        <w:rPr>
          <w:sz w:val="20"/>
          <w:szCs w:val="20"/>
          <w:color w:val="auto"/>
        </w:rPr>
      </w:pPr>
      <w:r>
        <w:rPr>
          <w:rFonts w:ascii="Times New Roman" w:cs="Times New Roman" w:eastAsia="Times New Roman" w:hAnsi="Times New Roman"/>
          <w:sz w:val="18"/>
          <w:szCs w:val="18"/>
          <w:color w:val="auto"/>
        </w:rPr>
        <w:t>Operating profit percent Non-GAAP operating profit percent</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63"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7"/>
          <w:szCs w:val="17"/>
          <w:b w:val="1"/>
          <w:bCs w:val="1"/>
          <w:color w:val="auto"/>
        </w:rPr>
        <w:t>RECONCILIATIONS OF GAAP TO NON-GAAP</w:t>
      </w:r>
    </w:p>
    <w:p>
      <w:pPr>
        <w:spacing w:after="0" w:line="75"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3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PROFIT (LOSS)</w:t>
      </w:r>
    </w:p>
    <w:p>
      <w:pPr>
        <w:spacing w:after="0" w:line="200" w:lineRule="exact"/>
        <w:rPr>
          <w:sz w:val="20"/>
          <w:szCs w:val="20"/>
          <w:color w:val="auto"/>
        </w:rPr>
      </w:pPr>
    </w:p>
    <w:p>
      <w:pPr>
        <w:spacing w:after="0" w:line="201" w:lineRule="exact"/>
        <w:rPr>
          <w:sz w:val="20"/>
          <w:szCs w:val="20"/>
          <w:color w:val="auto"/>
        </w:rPr>
      </w:pPr>
    </w:p>
    <w:p>
      <w:pPr>
        <w:jc w:val="center"/>
        <w:ind w:left="-453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53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488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r>
      <w:tr>
        <w:trPr>
          <w:trHeight w:val="21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20" w:type="dxa"/>
            <w:vAlign w:val="bottom"/>
          </w:tcPr>
          <w:p>
            <w:pPr>
              <w:spacing w:after="0"/>
              <w:rPr>
                <w:sz w:val="18"/>
                <w:szCs w:val="18"/>
                <w:color w:val="auto"/>
              </w:rPr>
            </w:pPr>
          </w:p>
        </w:tc>
      </w:tr>
      <w:tr>
        <w:trPr>
          <w:trHeight w:val="230"/>
        </w:trPr>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auto"/>
            </w:tcBorders>
          </w:tcPr>
          <w:p>
            <w:pPr>
              <w:spacing w:after="0"/>
              <w:rPr>
                <w:sz w:val="20"/>
                <w:szCs w:val="20"/>
                <w:color w:val="auto"/>
              </w:rPr>
            </w:pP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20" w:type="dxa"/>
            <w:vAlign w:val="bottom"/>
            <w:tcBorders>
              <w:bottom w:val="single" w:sz="8" w:color="auto"/>
            </w:tcBorders>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66"/>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6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220" w:type="dxa"/>
            <w:vAlign w:val="bottom"/>
          </w:tcPr>
          <w:p>
            <w:pPr>
              <w:spacing w:after="0"/>
              <w:rPr>
                <w:sz w:val="24"/>
                <w:szCs w:val="24"/>
                <w:color w:val="auto"/>
              </w:rPr>
            </w:pPr>
          </w:p>
        </w:tc>
      </w:tr>
      <w:tr>
        <w:trPr>
          <w:trHeight w:val="495"/>
        </w:trPr>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-1542415</wp:posOffset>
            </wp:positionV>
            <wp:extent cx="712343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-1242695</wp:posOffset>
            </wp:positionV>
            <wp:extent cx="71234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-951230</wp:posOffset>
            </wp:positionV>
            <wp:extent cx="71234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-608330</wp:posOffset>
            </wp:positionV>
            <wp:extent cx="71234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-290830</wp:posOffset>
            </wp:positionV>
            <wp:extent cx="712343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0</wp:posOffset>
            </wp:positionV>
            <wp:extent cx="71234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2927" w:space="720"/>
            <w:col w:w="7560"/>
          </w:cols>
          <w:pgMar w:left="353" w:top="765" w:right="339" w:bottom="1440" w:gutter="0" w:footer="0" w:header="0"/>
        </w:sectPr>
      </w:pPr>
    </w:p>
    <w:p>
      <w:pPr>
        <w:spacing w:after="0" w:line="21" w:lineRule="exact"/>
        <w:rPr>
          <w:sz w:val="20"/>
          <w:szCs w:val="20"/>
          <w:color w:val="auto"/>
        </w:rPr>
      </w:pPr>
    </w:p>
    <w:p>
      <w:pPr>
        <w:ind w:left="147" w:hanging="147"/>
        <w:spacing w:after="0"/>
        <w:tabs>
          <w:tab w:leader="none" w:pos="147"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selling, general and administrative on the consolidated statements of income (loss).</w:t>
      </w:r>
    </w:p>
    <w:p>
      <w:pPr>
        <w:spacing w:after="0" w:line="27" w:lineRule="exact"/>
        <w:rPr>
          <w:rFonts w:ascii="Times New Roman" w:cs="Times New Roman" w:eastAsia="Times New Roman" w:hAnsi="Times New Roman"/>
          <w:sz w:val="18"/>
          <w:szCs w:val="18"/>
          <w:color w:val="auto"/>
          <w:vertAlign w:val="superscript"/>
        </w:rPr>
      </w:pPr>
    </w:p>
    <w:p>
      <w:pPr>
        <w:ind w:left="147" w:hanging="147"/>
        <w:spacing w:after="0" w:line="223" w:lineRule="auto"/>
        <w:tabs>
          <w:tab w:leader="none" w:pos="147"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cost of revenue, selling, general and administrative and research and development on the consolidated statements of income (loss).</w:t>
      </w:r>
    </w:p>
    <w:p>
      <w:pPr>
        <w:spacing w:after="0" w:line="200" w:lineRule="exact"/>
        <w:rPr>
          <w:sz w:val="20"/>
          <w:szCs w:val="20"/>
          <w:color w:val="auto"/>
        </w:rPr>
      </w:pPr>
    </w:p>
    <w:p>
      <w:pPr>
        <w:spacing w:after="0" w:line="391"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1207"/>
      </w:cols>
      <w:pgMar w:left="353" w:top="76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2026-05-05T15:30:45Z</dcterms:created>
  <dcterms:modified xsi:type="dcterms:W3CDTF">2026-05-05T15:30:45Z</dcterms:modified>
</cp:coreProperties>
</file>