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UNISYS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38-0387840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344"/>
        <w:spacing w:after="0"/>
        <w:rPr>
          <w:sz w:val="20"/>
          <w:szCs w:val="20"/>
          <w:color w:val="auto"/>
        </w:rPr>
      </w:pPr>
      <w:r>
        <w:rPr>
          <w:rFonts w:ascii="Times New Roman" w:cs="Times New Roman" w:eastAsia="Times New Roman" w:hAnsi="Times New Roman"/>
          <w:sz w:val="18"/>
          <w:szCs w:val="18"/>
          <w:b w:val="1"/>
          <w:bCs w:val="1"/>
          <w:color w:val="auto"/>
        </w:rPr>
        <w:t>801 Lakeview Drive, Suite 100</w:t>
      </w:r>
    </w:p>
    <w:p>
      <w:pPr>
        <w:spacing w:after="0" w:line="31" w:lineRule="exact"/>
        <w:rPr>
          <w:sz w:val="24"/>
          <w:szCs w:val="24"/>
          <w:color w:val="auto"/>
        </w:rPr>
      </w:pPr>
    </w:p>
    <w:p>
      <w:pPr>
        <w:ind w:left="4364"/>
        <w:spacing w:after="0"/>
        <w:rPr>
          <w:sz w:val="20"/>
          <w:szCs w:val="20"/>
          <w:color w:val="auto"/>
        </w:rPr>
      </w:pPr>
      <w:r>
        <w:rPr>
          <w:rFonts w:ascii="Times New Roman" w:cs="Times New Roman" w:eastAsia="Times New Roman" w:hAnsi="Times New Roman"/>
          <w:sz w:val="18"/>
          <w:szCs w:val="18"/>
          <w:b w:val="1"/>
          <w:bCs w:val="1"/>
          <w:color w:val="auto"/>
        </w:rPr>
        <w:t>Blue Bell, Pennsylvania 19422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(215) 986-4011</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UIS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 and Financial Condition.</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and for the three and nine months ended September 30, 2022 and management’s discussion and analysis of financial condition and results of operations of Unisys Corporation (the “Company”) are attached as Exhibit 99.1. Exhibits 99.1 is incorporated herein by reference.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furnishing the information in this Item 2.02 in order to maintain compliance with the reporting covenant under the Indenture, dated as of October 29, 2020 (as amended, supplemented or otherwise modified from time to time, the “Indenture”), among the Company, the subsidiary guarantors party thereto and Wells Fargo Bank, N.A., as trustee and collateral agent, governing its 6.875% senior secured notes due 2027. Under the Indenture, the Company is required to provide the trustee and bondholders quarterly reports within the time period applicable to non-accelerated filers.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reported by the Company in its Notification of Late Filing on Form 12b-25, filed with the Securities and Exchange Commission (the “SEC”) on November 7, 2022, the Company was unable to file its Quarterly Report on Form 10-Q for the period ended September 30, 2022 (the “Quarterly Report”) within the prescribed period due to an internal investigation regarding certain disclosure controls and procedures matters, including the dissemination and communication of information within certain aspects of the organization. As such, the Company is furnishing the information in this Item 2.02 in order to provide the trustee and bondholders information required pursuant to the Indenture. Notwithstanding the foregoing, the Company does not expect the investigation to result in any changes to the financial results in the Company’s previously reported financial statements or the information attached as Exhibit 99.1 or to impact the financial results in the Company’s unaudited financial statements for the period as of and ended September 30, 2022. The Company expects to file the Quarterly Report with the SEC within the next several days.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Audit &amp; Finance Committee (the “Audit Committee”) of the Board of Directors (the “Board”) of Unisys Corporation has conducted an internal investigation regarding certain disclosure controls and procedures matters. Management of the Company, in consultation with the Audit Committee, has identified material weaknesses in the Company’s disclosure controls and procedures and internal control over financial reporting related to the design and maintenance of effective formal policies and procedures over information being communicated by the IT function and the legal and compliance function to those responsible for governance, including the Chief Executive Officer and Chief Financial Officer, to allow timely decisions related to both financial reporting and other non-financial reporting in the reports that the Company files or submits under the Securities Exchange Act of 1934, as amended. As a result, the Company has concluded that its disclosure controls and procedures were not effective as of December 31, 2021, March 31, 2022 and June 30, 2022 and its internal control over financial reporting was not effective as of December 31, 2021.</w:t>
      </w:r>
    </w:p>
    <w:p>
      <w:pPr>
        <w:spacing w:after="0" w:line="33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November 15, 2022, the Company received a notice (the “NYSE Notice”) from the New York Stock Exchange (the “NYSE”) indicating that, because the Company did not timely file the Quarterly Report, the Company is not in compliance with Section 802.01E of the NYSE Listed Company Manual, which requires that NYSE-listed companies timely file all periodic reports with the SEC.</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NYSE Notice has no immediate effect on the listing of the Company’s common stock on the NYSE. The NYSE Notice informed the Company that, under NYSE rules, the Company has six months, until May 14, 2023, to file the Quarterly Report and regain compliance with the NYSE listing standards. If the Company fails to file the Quarterly Report by the six-month deadline, the NYSE may, in its sole discretion, grant an extension of up to six additional months for the Company to regain compliance, depending on the specific circumstances.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expects to file the Quarterly Report with the SEC within the next several days and, in any event, before the six-month deadline stipulated by the NYSE.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of this Current Report on Form 8-K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accordance with the NYSE’s procedures, on November 21, 2022, the Company issued a press release announcing the receipt of the NYSE Notice. A copy of the press release is attached hereto as Exhibit 99.2 and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Items 2.02 and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Financial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financial results for the period ended September 30, 2022 and related comparisons to prior periods included in this Current Report on Form 8-K have not been reviewed or audited. These financial results do not present all required information necessary to present a Form 10-Q for the period ended September 30, 2022. Notwithstanding the foregoing, the Company does not expect these findings to result in any changes to the financial results in the Company’s previously reported financial statements or to impact the financial results in the Company’s unaudited financial statements for the period as of and ended September 30,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statements contained in this Current Report on Form 8-K that are not historical facts are forward-looking statements as defined in the Private Securities Litigation Reform Act of 1995. Forward-looking statements generally are accompanied by words such as “may,” “will,” “anticipate,” “intend,” “expect” and similar expressions that predict or indicate future events or trends or that are not statements of historical matters.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You should not place undue reliance on forward-looking statements because they involve known and unknown risks, uncertainties and other factors, which are, in some cases, beyond the Company’s control and which could materially affect results. Factors that may cause actual results to differ materially from current expectations include, among other things, the impact of the Audit &amp; Finance Committee’s investigation; the impact of management’s conclusion, in</w:t>
      </w:r>
    </w:p>
    <w:p>
      <w:pPr>
        <w:sectPr>
          <w:pgSz w:w="11900" w:h="16838" w:orient="portrait"/>
          <w:cols w:equalWidth="0" w:num="1">
            <w:col w:w="11000"/>
          </w:cols>
          <w:pgMar w:left="440" w:top="293" w:right="459" w:bottom="0" w:gutter="0" w:footer="0" w:header="0"/>
        </w:sectPr>
      </w:pPr>
    </w:p>
    <w:bookmarkStart w:id="2" w:name="page3"/>
    <w:bookmarkEnd w:id="2"/>
    <w:p>
      <w:pPr>
        <w:ind w:left="4"/>
        <w:spacing w:after="0" w:line="256" w:lineRule="auto"/>
        <w:rPr>
          <w:sz w:val="20"/>
          <w:szCs w:val="20"/>
          <w:color w:val="auto"/>
        </w:rPr>
      </w:pPr>
      <w:r>
        <w:rPr>
          <w:rFonts w:ascii="Times New Roman" w:cs="Times New Roman" w:eastAsia="Times New Roman" w:hAnsi="Times New Roman"/>
          <w:sz w:val="18"/>
          <w:szCs w:val="18"/>
          <w:color w:val="auto"/>
        </w:rPr>
        <w:t>consultation with the Audit &amp; Finance Committee, that material weaknesses existed in the Company’s disclosure controls and procedures and internal control over financial reporting; the evaluation and implementation of remediation efforts designed and implemented to enhance the Company’s control environment; the potential identification of one or more additional material weaknesses in the Company’s internal control over financial reporting of which the Company is not currently aware or that have not been detected; and those described more fully in the Company’s periodic filings with the SEC. Forward-looking statements contained in this report are made as of this date, and the Company undertakes no duty to update such information except as required under applicable law.</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Supplemental Disclosure as of and for the Period Ended September 30,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News Release, dated November 21, 2022</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Extensible Business Reporting Language document)</w:t>
      </w:r>
    </w:p>
    <w:p>
      <w:pPr>
        <w:sectPr>
          <w:pgSz w:w="11900" w:h="16838" w:orient="portrait"/>
          <w:cols w:equalWidth="0" w:num="1">
            <w:col w:w="10924"/>
          </w:cols>
          <w:pgMar w:left="436" w:top="121" w:right="53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UNISYS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Debra McCann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0260"/>
          </w:cols>
          <w:pgMar w:left="440" w:top="293" w:right="1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54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00" w:type="dxa"/>
            <w:vAlign w:val="bottom"/>
            <w:gridSpan w:val="3"/>
          </w:tcPr>
          <w:p>
            <w:pPr>
              <w:jc w:val="center"/>
              <w:ind w:right="1721"/>
              <w:spacing w:after="0"/>
              <w:rPr>
                <w:sz w:val="20"/>
                <w:szCs w:val="20"/>
                <w:color w:val="auto"/>
              </w:rPr>
            </w:pPr>
            <w:r>
              <w:rPr>
                <w:rFonts w:ascii="Times New Roman" w:cs="Times New Roman" w:eastAsia="Times New Roman" w:hAnsi="Times New Roman"/>
                <w:sz w:val="18"/>
                <w:szCs w:val="18"/>
                <w:b w:val="1"/>
                <w:bCs w:val="1"/>
                <w:color w:val="auto"/>
                <w:w w:val="99"/>
              </w:rPr>
              <w:t>UNISYS CORPORATION</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748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(LOSS) (Unaudited)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00" w:type="dxa"/>
            <w:vAlign w:val="bottom"/>
            <w:gridSpan w:val="3"/>
          </w:tcPr>
          <w:p>
            <w:pPr>
              <w:jc w:val="center"/>
              <w:ind w:right="1741"/>
              <w:spacing w:after="0"/>
              <w:rPr>
                <w:sz w:val="20"/>
                <w:szCs w:val="20"/>
                <w:color w:val="auto"/>
              </w:rPr>
            </w:pPr>
            <w:r>
              <w:rPr>
                <w:rFonts w:ascii="Times New Roman" w:cs="Times New Roman" w:eastAsia="Times New Roman" w:hAnsi="Times New Roman"/>
                <w:sz w:val="18"/>
                <w:szCs w:val="18"/>
                <w:b w:val="1"/>
                <w:bCs w:val="1"/>
                <w:color w:val="auto"/>
                <w:w w:val="99"/>
              </w:rPr>
              <w:t>(Millions, except per share data)</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1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80" w:type="dxa"/>
            <w:vAlign w:val="bottom"/>
            <w:gridSpan w:val="4"/>
          </w:tcPr>
          <w:p>
            <w:pPr>
              <w:jc w:val="right"/>
              <w:ind w:right="161"/>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24"/>
                <w:szCs w:val="24"/>
                <w:color w:val="auto"/>
              </w:rPr>
            </w:pPr>
          </w:p>
        </w:tc>
        <w:tc>
          <w:tcPr>
            <w:tcW w:w="150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11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8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4"/>
                <w:szCs w:val="14"/>
                <w:color w:val="auto"/>
              </w:rPr>
            </w:pPr>
          </w:p>
        </w:tc>
        <w:tc>
          <w:tcPr>
            <w:tcW w:w="150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11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1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98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980" w:type="dxa"/>
            <w:vAlign w:val="bottom"/>
          </w:tcPr>
          <w:p>
            <w:pPr>
              <w:spacing w:after="0"/>
              <w:rPr>
                <w:sz w:val="18"/>
                <w:szCs w:val="18"/>
                <w:color w:val="auto"/>
              </w:rPr>
            </w:pPr>
          </w:p>
        </w:tc>
        <w:tc>
          <w:tcPr>
            <w:tcW w:w="4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$395.2</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$ 417.9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96"/>
              </w:rPr>
              <w:t>1,187.6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6"/>
              </w:rPr>
              <w:t>1,268.8</w:t>
            </w:r>
          </w:p>
        </w:tc>
      </w:tr>
      <w:tr>
        <w:trPr>
          <w:trHeight w:val="216"/>
        </w:trPr>
        <w:tc>
          <w:tcPr>
            <w:tcW w:w="4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4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66.0</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246.3</w:t>
            </w:r>
          </w:p>
        </w:tc>
      </w:tr>
      <w:tr>
        <w:trPr>
          <w:trHeight w:val="223"/>
        </w:trPr>
        <w:tc>
          <w:tcPr>
            <w:tcW w:w="1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1,515.1</w:t>
            </w:r>
          </w:p>
        </w:tc>
        <w:tc>
          <w:tcPr>
            <w:tcW w:w="120" w:type="dxa"/>
            <w:vAlign w:val="bottom"/>
          </w:tcPr>
          <w:p>
            <w:pPr>
              <w:spacing w:after="0"/>
              <w:rPr>
                <w:sz w:val="19"/>
                <w:szCs w:val="19"/>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9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98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318.2</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961.6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1,019.7</w:t>
            </w:r>
          </w:p>
        </w:tc>
      </w:tr>
      <w:tr>
        <w:trPr>
          <w:trHeight w:val="216"/>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378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38.7</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6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87.1</w:t>
            </w:r>
          </w:p>
        </w:tc>
      </w:tr>
      <w:tr>
        <w:trPr>
          <w:trHeight w:val="27"/>
        </w:trPr>
        <w:tc>
          <w:tcPr>
            <w:tcW w:w="1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1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356.9</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96"/>
              </w:rPr>
              <w:t>1,083.1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1,106.8</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106.3</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6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320.3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279.7</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1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1,420.7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1,405.6</w:t>
            </w:r>
          </w:p>
        </w:tc>
        <w:tc>
          <w:tcPr>
            <w:tcW w:w="120" w:type="dxa"/>
            <w:vAlign w:val="bottom"/>
          </w:tcPr>
          <w:p>
            <w:pPr>
              <w:spacing w:after="0"/>
              <w:rPr>
                <w:sz w:val="20"/>
                <w:szCs w:val="20"/>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4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980" w:type="dxa"/>
            <w:vAlign w:val="bottom"/>
          </w:tcPr>
          <w:p>
            <w:pPr>
              <w:spacing w:after="0"/>
              <w:rPr>
                <w:sz w:val="18"/>
                <w:szCs w:val="18"/>
                <w:color w:val="auto"/>
              </w:rPr>
            </w:pPr>
          </w:p>
        </w:tc>
        <w:tc>
          <w:tcPr>
            <w:tcW w:w="45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6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(23.3)</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(352.1)</w:t>
            </w:r>
          </w:p>
        </w:tc>
        <w:tc>
          <w:tcPr>
            <w:tcW w:w="120" w:type="dxa"/>
            <w:vAlign w:val="bottom"/>
          </w:tcPr>
          <w:p>
            <w:pPr>
              <w:spacing w:after="0"/>
              <w:rPr>
                <w:sz w:val="19"/>
                <w:szCs w:val="19"/>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0.7</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37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(318.3)</w:t>
            </w:r>
          </w:p>
        </w:tc>
        <w:tc>
          <w:tcPr>
            <w:tcW w:w="120" w:type="dxa"/>
            <w:vAlign w:val="bottom"/>
          </w:tcPr>
          <w:p>
            <w:pPr>
              <w:spacing w:after="0"/>
              <w:rPr>
                <w:sz w:val="19"/>
                <w:szCs w:val="19"/>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5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37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attributable to Unisys Corporation</w:t>
            </w:r>
          </w:p>
        </w:tc>
        <w:tc>
          <w:tcPr>
            <w:tcW w:w="3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980" w:type="dxa"/>
            <w:vAlign w:val="bottom"/>
          </w:tcPr>
          <w:p>
            <w:pPr>
              <w:spacing w:after="0"/>
              <w:rPr>
                <w:sz w:val="18"/>
                <w:szCs w:val="18"/>
                <w:color w:val="auto"/>
              </w:rPr>
            </w:pPr>
          </w:p>
        </w:tc>
        <w:tc>
          <w:tcPr>
            <w:tcW w:w="45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 (0.59)</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(0.28)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98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(0.59)</w:t>
            </w: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1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UNISYS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0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380" w:type="dxa"/>
            <w:vAlign w:val="bottom"/>
            <w:gridSpan w:val="5"/>
          </w:tcPr>
          <w:p>
            <w:pPr>
              <w:jc w:val="right"/>
              <w:ind w:right="14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150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4"/>
                <w:szCs w:val="14"/>
                <w:color w:val="auto"/>
              </w:rPr>
            </w:pPr>
          </w:p>
        </w:tc>
        <w:tc>
          <w:tcPr>
            <w:tcW w:w="1380" w:type="dxa"/>
            <w:vAlign w:val="bottom"/>
            <w:gridSpan w:val="5"/>
          </w:tcPr>
          <w:p>
            <w:pPr>
              <w:jc w:val="right"/>
              <w:ind w:right="30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80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(39.9</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8"/>
              </w:rPr>
              <w:t>(204.2)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adjustments, net of tax of $14.4 and $35.2 in 2022 and $7.4 and $45.2 in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vMerge w:val="continue"/>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Unisys Corporation</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(41.8</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2</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UNISYS CORPORATION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8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color w:val="auto"/>
                <w:w w:val="98"/>
              </w:rPr>
              <w:t>September 30,</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552.9</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404.6</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451.7</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78.8</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436.8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Less-accumulated depreciation and amortization</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359.1</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381.5</w:t>
            </w:r>
          </w:p>
        </w:tc>
      </w:tr>
      <w:tr>
        <w:trPr>
          <w:trHeight w:val="27"/>
        </w:trPr>
        <w:tc>
          <w:tcPr>
            <w:tcW w:w="6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net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Outsourcing assets, net</w:t>
            </w:r>
          </w:p>
        </w:tc>
        <w:tc>
          <w:tcPr>
            <w:tcW w:w="2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software, net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postretirement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Assets held-for-sale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173.9</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2,419.5</w:t>
            </w:r>
          </w:p>
        </w:tc>
        <w:tc>
          <w:tcPr>
            <w:tcW w:w="1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deficit</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long-term-debt</w:t>
            </w:r>
          </w:p>
        </w:tc>
        <w:tc>
          <w:tcPr>
            <w:tcW w:w="24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180.2</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253.2</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300.9</w:t>
            </w:r>
          </w:p>
        </w:tc>
      </w:tr>
      <w:tr>
        <w:trPr>
          <w:trHeight w:val="27"/>
        </w:trPr>
        <w:tc>
          <w:tcPr>
            <w:tcW w:w="6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642.0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752.5</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postretirement liabilities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127.2</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Deficit: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shares issued: 2022; 73.3, 2021; 72.5</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(1,523.5)</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(1,409.0)</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shares at cost: 2022; 5.5, 2021; 5.3</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4,726.8</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4,710.9</w:t>
            </w: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(3,232.2)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(3,264.1)</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Unisys Corporation stockholders’ deficit</w:t>
            </w:r>
          </w:p>
        </w:tc>
        <w:tc>
          <w:tcPr>
            <w:tcW w:w="2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2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24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2,058.1*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2,419.5</w:t>
            </w:r>
          </w:p>
        </w:tc>
      </w:tr>
      <w:tr>
        <w:trPr>
          <w:trHeight w:val="20"/>
        </w:trPr>
        <w:tc>
          <w:tcPr>
            <w:tcW w:w="6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consolidated financial statements reflect a change of $15.2 million to increase both assets and liabilities, as compared to the previously filed consolidated financial statements on November 7, 2022.</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UNISYS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p>
      <w:pPr>
        <w:jc w:val="center"/>
        <w:ind w:left="8960"/>
        <w:spacing w:after="0"/>
        <w:rPr>
          <w:sz w:val="20"/>
          <w:szCs w:val="20"/>
          <w:color w:val="auto"/>
        </w:rPr>
      </w:pPr>
      <w:r>
        <w:rPr>
          <w:rFonts w:ascii="Times New Roman" w:cs="Times New Roman" w:eastAsia="Times New Roman" w:hAnsi="Times New Roman"/>
          <w:sz w:val="14"/>
          <w:szCs w:val="14"/>
          <w:color w:val="auto"/>
        </w:rPr>
        <w:t>Nine Months Ended</w:t>
      </w:r>
    </w:p>
    <w:p>
      <w:pPr>
        <w:jc w:val="center"/>
        <w:ind w:left="8960"/>
        <w:spacing w:after="0" w:line="236" w:lineRule="auto"/>
        <w:rPr>
          <w:sz w:val="20"/>
          <w:szCs w:val="20"/>
          <w:color w:val="auto"/>
        </w:rPr>
      </w:pPr>
      <w:r>
        <w:rPr>
          <w:rFonts w:ascii="Times New Roman" w:cs="Times New Roman" w:eastAsia="Times New Roman" w:hAnsi="Times New Roman"/>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81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loss to net cash (used for) provided by operating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outsourcing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marketable software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capital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Postretirement contributions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acquisitions: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 net and contract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6"/>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current liabilities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for) provided by operating activities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3,286.4</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(2,499.4)</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(3,294.6)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marketable software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additions of properties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additions of outsourcing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906.7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UNISYS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DEFICIT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color w:val="auto"/>
              </w:rPr>
              <w:t>Unisys Corporation</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Accumu-</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4"/>
                <w:szCs w:val="14"/>
                <w:color w:val="auto"/>
                <w:w w:val="99"/>
              </w:rPr>
              <w:t>Accumu-</w:t>
            </w: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Paid-in</w:t>
            </w: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Compre-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74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Unisys</w:t>
            </w:r>
          </w:p>
        </w:tc>
        <w:tc>
          <w:tcPr>
            <w:tcW w:w="1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140" w:type="dxa"/>
            <w:vAlign w:val="bottom"/>
          </w:tcPr>
          <w:p>
            <w:pPr>
              <w:spacing w:after="0"/>
              <w:rPr>
                <w:sz w:val="12"/>
                <w:szCs w:val="12"/>
                <w:color w:val="auto"/>
              </w:rPr>
            </w:pPr>
          </w:p>
        </w:tc>
        <w:tc>
          <w:tcPr>
            <w:tcW w:w="9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lated</w:t>
            </w:r>
          </w:p>
        </w:tc>
        <w:tc>
          <w:tcPr>
            <w:tcW w:w="74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Stock At</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hensive</w:t>
            </w:r>
          </w:p>
        </w:tc>
        <w:tc>
          <w:tcPr>
            <w:tcW w:w="1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4"/>
                <w:szCs w:val="14"/>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2"/>
          </w:tcPr>
          <w:p>
            <w:pPr>
              <w:jc w:val="center"/>
              <w:ind w:right="101"/>
              <w:spacing w:after="0"/>
              <w:rPr>
                <w:sz w:val="20"/>
                <w:szCs w:val="20"/>
                <w:color w:val="auto"/>
              </w:rPr>
            </w:pPr>
            <w:r>
              <w:rPr>
                <w:rFonts w:ascii="Times New Roman" w:cs="Times New Roman" w:eastAsia="Times New Roman" w:hAnsi="Times New Roman"/>
                <w:sz w:val="14"/>
                <w:szCs w:val="14"/>
                <w:color w:val="auto"/>
              </w:rPr>
              <w:t>Cost</w:t>
            </w: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Capital</w:t>
            </w:r>
          </w:p>
        </w:tc>
        <w:tc>
          <w:tcPr>
            <w:tcW w:w="88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$(1,409.0)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$4,710.9</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$(3,264.1)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(57.3)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(1,466.3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(155.7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4,716.6</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(3,223.3</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0.7</w:t>
            </w:r>
          </w:p>
        </w:tc>
        <w:tc>
          <w:tcPr>
            <w:tcW w:w="1860" w:type="dxa"/>
            <w:vAlign w:val="bottom"/>
            <w:gridSpan w:val="5"/>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(1,483.4)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(155.9)</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4,721.9</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(3,230.5)</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(1,523.5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(155.9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4,726.8</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(3,232.2</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color w:val="auto"/>
              </w:rPr>
              <w:t>Unisys Corporation</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Accumu-</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21"/>
              <w:spacing w:after="0"/>
              <w:rPr>
                <w:sz w:val="20"/>
                <w:szCs w:val="20"/>
                <w:color w:val="auto"/>
              </w:rPr>
            </w:pPr>
            <w:r>
              <w:rPr>
                <w:rFonts w:ascii="Times New Roman" w:cs="Times New Roman" w:eastAsia="Times New Roman" w:hAnsi="Times New Roman"/>
                <w:sz w:val="14"/>
                <w:szCs w:val="14"/>
                <w:color w:val="auto"/>
                <w:w w:val="99"/>
              </w:rPr>
              <w:t>Accumu-</w:t>
            </w: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Paid-in</w:t>
            </w: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Compre-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Unisys</w:t>
            </w:r>
          </w:p>
        </w:tc>
        <w:tc>
          <w:tcPr>
            <w:tcW w:w="1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140" w:type="dxa"/>
            <w:vAlign w:val="bottom"/>
          </w:tcPr>
          <w:p>
            <w:pPr>
              <w:spacing w:after="0"/>
              <w:rPr>
                <w:sz w:val="12"/>
                <w:szCs w:val="12"/>
                <w:color w:val="auto"/>
              </w:rPr>
            </w:pPr>
          </w:p>
        </w:tc>
        <w:tc>
          <w:tcPr>
            <w:tcW w:w="98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color w:val="auto"/>
              </w:rPr>
              <w:t>lated</w:t>
            </w:r>
          </w:p>
        </w:tc>
        <w:tc>
          <w:tcPr>
            <w:tcW w:w="74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Stock At</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81"/>
              <w:spacing w:after="0" w:line="149" w:lineRule="exact"/>
              <w:rPr>
                <w:sz w:val="20"/>
                <w:szCs w:val="20"/>
                <w:color w:val="auto"/>
              </w:rPr>
            </w:pPr>
            <w:r>
              <w:rPr>
                <w:rFonts w:ascii="Times New Roman" w:cs="Times New Roman" w:eastAsia="Times New Roman" w:hAnsi="Times New Roman"/>
                <w:sz w:val="14"/>
                <w:szCs w:val="14"/>
                <w:color w:val="auto"/>
              </w:rPr>
              <w:t>hensive</w:t>
            </w:r>
          </w:p>
        </w:tc>
        <w:tc>
          <w:tcPr>
            <w:tcW w:w="1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Corporation</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rPr>
              <w:t>Capital</w:t>
            </w: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Loss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(312.1)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(960.5)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(114.4)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$4,656.9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$(3,939.5)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8"/>
              </w:rPr>
              <w:t>(157.5)</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(157.8)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Capped call on conversion of notes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(30.8)</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(285.8)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(1,118.3)</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(151.9)</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4,693.1</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(3,755.2)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8"/>
              </w:rPr>
              <w:t>(142.3)</w:t>
            </w:r>
          </w:p>
        </w:tc>
        <w:tc>
          <w:tcPr>
            <w:tcW w:w="12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(263.8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(1,259.1</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(152.1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4,697.8</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(3,596.1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activity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7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(250.1)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(294.3)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(1,277.8)</w:t>
            </w: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(152.1)</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4,703.1</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(3,568.2)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UNISYS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share and per share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of Unisys Corporation have been prepared in accordance with generally accepted accounting principles in the United States of America (GAAP). The financial statements and footnotes are unaudited. In the opinion of management, the financial information furnished herein reflects all adjustments necessary for a fair statement of the results of operations, comprehensive income (loss), financial position, cash flows and deficit for the interim periods specified. These adjustments consist only of normal recurring accruals except as disclosed herein. Because of seasonal and other factors, results for interim periods are not necessarily indicative of the results to be expected for the full year.</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outsourcing assets, marketable software, goodwill, purchased intangibles and other long-lived assets, legal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Changes in those estimates resulting from continuing changes in the economic environment will be reflected in the financial statements in future periods.</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are set forth in detail in Note 1 of the Notes to Consolidated Financial Statements in the company’s Annual Report on Form 10-K for the year ended December 31, 2021 filed with the Securities and Exchange Commission. Such Annual Report also contains a discussion of the company’s critical accounting policies and estimates. The company believes that these critical accounting policies and estimates affect its more significant estimates and judgments used in the preparation of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Accounting Standards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adopted Accounting Standards Update (ASU) No. 2021-08, Accounting for Contract Assets and Contract Liabilities from Contracts with Customers. This guidance requires that an acquirer recognize and measure contract assets and contract liabilities acquired in a business combination in accordance with ASC 606, Revenue from Contracts with Customers, as if it had originated the contracts. Deferred revenue acquired in a business combination is no longer required to be measured at its fair value, which had historically resulted in a deferred revenue impairment at the date of acquisition. The company will adopt this guidance for acquisitions completed on or after January 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acquired 100% of CompuGain LLC (CompuGain), a leading cloud solutions provider, for a purchase price consideration of $85.3 million on a cash-free, debt-free basis. The company funded the cash consideration and acquisition-related costs with cash on hand.</w:t>
      </w:r>
    </w:p>
    <w:p>
      <w:pPr>
        <w:spacing w:after="0" w:line="176"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The acquisition enhanced the company’s delivery of rapid and agile cloud migration, application modernization and data value realization to our clients. 6</w:t>
      </w:r>
    </w:p>
    <w:p>
      <w:pPr>
        <w:sectPr>
          <w:pgSz w:w="11900" w:h="16838" w:orient="portrait"/>
          <w:cols w:equalWidth="0" w:num="1">
            <w:col w:w="10980"/>
          </w:cols>
          <w:pgMar w:left="440" w:top="266"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values of the total net assets acquired was as follows: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Properties and other long-term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45.9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85.3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In the second quarter of 2022, the company finalized its valuation of assets acquired and liabilities assumed resulting in measurement period adjustments that decreased goodwill by $27.5 million primarily related to an increase of $27.6 million in the fair value of the acquired intangible assets.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Goodwill is the excess of the purchase price consideration over the fair value of the underlying intangible assets and net liabilities assumed. The goodwill represents expected synergies, intellectual capital and the acquired assembled workforce, none of which qualify for recognition as a separate intangible asset. Goodwill determined by the allocation of the purchase price was recorded in the company’s Cloud, Applications &amp; Infrastructure Solutions segment and is deductible for tax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intangible assets acquired and the related weighted average amortization period:</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Weighted Average</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9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color w:val="auto"/>
              </w:rPr>
              <w:t>Amortization Period</w:t>
            </w: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7"/>
              </w:rPr>
              <w:t>in Years</w:t>
            </w: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12.0</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4.0</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CompuGain commencing as of the acquisition date. Revenue and earnings for CompuGain have not been presented as the impact is not material to the company’s consolidated financial statements.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incurred and expensed acquisition-related costs of $0.4 million, Acquisition-related costs are included within selling, general and administrative expenses on the consolidated statements of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Cost-Reduction Actions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recognized cost-reduction charges and other costs of $8.1 million. The charges related to work-force reductions were $0.5 million for changes in estimates. In addition, the company recorded charges of $7.6 million comprised of</w:t>
      </w:r>
    </w:p>
    <w:p>
      <w:pPr>
        <w:ind w:right="200"/>
        <w:spacing w:after="0" w:line="260" w:lineRule="auto"/>
        <w:rPr>
          <w:sz w:val="20"/>
          <w:szCs w:val="20"/>
          <w:color w:val="auto"/>
        </w:rPr>
      </w:pPr>
      <w:r>
        <w:rPr>
          <w:rFonts w:ascii="Times New Roman" w:cs="Times New Roman" w:eastAsia="Times New Roman" w:hAnsi="Times New Roman"/>
          <w:sz w:val="18"/>
          <w:szCs w:val="18"/>
          <w:color w:val="auto"/>
        </w:rPr>
        <w:t>$1.9 million for net foreign currency losses related to exiting foreign countries, $4.7 million for asset impairments and $1.0 million for other expenses related to cost-reduction efforts.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recognized net cost-reduction charges and other costs of $0.8 million. The net credits related to work-force reductions were $0.6 million, principally related to severance costs, and were comprised of: (a) a charge of $0.7 million and (b) a credit of $1.3 million for changes in estimates. In addition, the company recorded net charges of $1.4 million comprised of a charge of $1.3 million for net foreign currency losses related to exiting foreign countries, a charge of $0.5 million for asset impairments and a credit of $0.4 million related to other cost-reduction efforts.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nine months ended September 30, 2022, the company recognized net cost-reduction charges and other costs of $14.2 million. The credit related to work-force reductions was $0.4 million for changes in estimates. In addition, the company recorded charges of $14.6 million comprised of $4.8 million for net foreign currency losses related to exiting foreign countries, $9.4 million for asset impairments and a net charge of $0.4 million for other expenses related to cost-reduction efforts.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recognized net cost-reduction charges and other costs of $14.4 million. The net credits related to work-force reductions were $2.5 million, principally related to severance costs, and were comprised of: (a) a charge of $6.5 million and (b) a credit of $9.0 million for changes in estimates. In addition, the company recorded charges of $16.9 million comprised of $2.9 million for net foreign currency losses related to exiting foreign countries, $7.3 million for asset impairments and $6.7 million for other expenses related to cost-reduction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4"/>
                <w:szCs w:val="14"/>
                <w:color w:val="auto"/>
              </w:rPr>
            </w:pPr>
          </w:p>
        </w:tc>
        <w:tc>
          <w:tcPr>
            <w:tcW w:w="130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3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expected future payments related to the company’s work-force reduction actions are as follows: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U.S.</w:t>
            </w: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International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3</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Expected future utilization on balance at September 30, 2022:</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18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5 - Pension and Postretirement Benefits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periodic pension expense (income) is presented below:</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11"/>
          </w:tcPr>
          <w:p>
            <w:pPr>
              <w:jc w:val="center"/>
              <w:ind w:right="560"/>
              <w:spacing w:after="0"/>
              <w:rPr>
                <w:sz w:val="20"/>
                <w:szCs w:val="20"/>
                <w:color w:val="auto"/>
              </w:rPr>
            </w:pPr>
            <w:r>
              <w:rPr>
                <w:rFonts w:ascii="Times New Roman" w:cs="Times New Roman" w:eastAsia="Times New Roman" w:hAnsi="Times New Roman"/>
                <w:sz w:val="14"/>
                <w:szCs w:val="14"/>
                <w:color w:val="auto"/>
              </w:rPr>
              <w:t>Three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color w:val="auto"/>
              </w:rPr>
              <w:t>September 30, 2022</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color w:val="auto"/>
              </w:rPr>
              <w:t>September 30, 2021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5"/>
            <w:vMerge w:val="restart"/>
          </w:tcPr>
          <w:p>
            <w:pPr>
              <w:jc w:val="right"/>
              <w:ind w:right="124"/>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220"/>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18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International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7"/>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12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International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Plans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Plans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Plans</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Service cost</w:t>
            </w:r>
            <w:r>
              <w:rPr>
                <w:rFonts w:ascii="Times New Roman" w:cs="Times New Roman" w:eastAsia="Times New Roman" w:hAnsi="Times New Roman"/>
                <w:sz w:val="24"/>
                <w:szCs w:val="24"/>
                <w:color w:val="auto"/>
                <w:vertAlign w:val="superscript"/>
              </w:rPr>
              <w:t>(i)</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100" w:type="dxa"/>
            <w:vAlign w:val="bottom"/>
          </w:tcPr>
          <w:p>
            <w:pPr>
              <w:spacing w:after="0"/>
              <w:rPr>
                <w:sz w:val="18"/>
                <w:szCs w:val="18"/>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periodic pension expense (income)</w:t>
            </w: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$ 11.8</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w:t>
            </w:r>
          </w:p>
        </w:tc>
        <w:tc>
          <w:tcPr>
            <w:tcW w:w="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$ 12.7</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color w:val="auto"/>
              </w:rPr>
              <w:t>Nine Months Ended</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9"/>
          </w:tcPr>
          <w:p>
            <w:pPr>
              <w:jc w:val="right"/>
              <w:ind w:right="59"/>
              <w:spacing w:after="0"/>
              <w:rPr>
                <w:sz w:val="20"/>
                <w:szCs w:val="20"/>
                <w:color w:val="auto"/>
              </w:rPr>
            </w:pPr>
            <w:r>
              <w:rPr>
                <w:rFonts w:ascii="Times New Roman" w:cs="Times New Roman" w:eastAsia="Times New Roman" w:hAnsi="Times New Roman"/>
                <w:sz w:val="14"/>
                <w:szCs w:val="14"/>
                <w:color w:val="auto"/>
              </w:rPr>
              <w:t>Nine Months Ended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10"/>
          </w:tcPr>
          <w:p>
            <w:pPr>
              <w:jc w:val="right"/>
              <w:ind w:right="200"/>
              <w:spacing w:after="0"/>
              <w:rPr>
                <w:sz w:val="20"/>
                <w:szCs w:val="20"/>
                <w:color w:val="auto"/>
              </w:rPr>
            </w:pPr>
            <w:r>
              <w:rPr>
                <w:rFonts w:ascii="Times New Roman" w:cs="Times New Roman" w:eastAsia="Times New Roman" w:hAnsi="Times New Roman"/>
                <w:sz w:val="14"/>
                <w:szCs w:val="14"/>
                <w:color w:val="auto"/>
              </w:rPr>
              <w:t>September 30, 2022</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9"/>
          </w:tcPr>
          <w:p>
            <w:pPr>
              <w:jc w:val="right"/>
              <w:ind w:right="59"/>
              <w:spacing w:after="0"/>
              <w:rPr>
                <w:sz w:val="20"/>
                <w:szCs w:val="20"/>
                <w:color w:val="auto"/>
              </w:rPr>
            </w:pPr>
            <w:r>
              <w:rPr>
                <w:rFonts w:ascii="Times New Roman" w:cs="Times New Roman" w:eastAsia="Times New Roman" w:hAnsi="Times New Roman"/>
                <w:sz w:val="14"/>
                <w:szCs w:val="14"/>
                <w:color w:val="auto"/>
              </w:rPr>
              <w:t>September 30, 2021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5"/>
          </w:tcPr>
          <w:p>
            <w:pPr>
              <w:jc w:val="right"/>
              <w:ind w:right="460"/>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740" w:type="dxa"/>
            <w:vAlign w:val="bottom"/>
            <w:gridSpan w:val="3"/>
          </w:tcPr>
          <w:p>
            <w:pPr>
              <w:jc w:val="right"/>
              <w:spacing w:after="0" w:line="119" w:lineRule="exact"/>
              <w:rPr>
                <w:sz w:val="20"/>
                <w:szCs w:val="20"/>
                <w:color w:val="auto"/>
              </w:rPr>
            </w:pPr>
            <w:r>
              <w:rPr>
                <w:rFonts w:ascii="Times New Roman" w:cs="Times New Roman" w:eastAsia="Times New Roman" w:hAnsi="Times New Roman"/>
                <w:sz w:val="13"/>
                <w:szCs w:val="13"/>
                <w:color w:val="auto"/>
              </w:rPr>
              <w:t>International</w:t>
            </w:r>
          </w:p>
        </w:tc>
        <w:tc>
          <w:tcPr>
            <w:tcW w:w="2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340"/>
              <w:spacing w:after="0" w:line="119" w:lineRule="exact"/>
              <w:rPr>
                <w:sz w:val="20"/>
                <w:szCs w:val="20"/>
                <w:color w:val="auto"/>
              </w:rPr>
            </w:pPr>
            <w:r>
              <w:rPr>
                <w:rFonts w:ascii="Times New Roman" w:cs="Times New Roman" w:eastAsia="Times New Roman" w:hAnsi="Times New Roman"/>
                <w:sz w:val="13"/>
                <w:szCs w:val="13"/>
                <w:color w:val="auto"/>
              </w:rPr>
              <w:t>U.S.</w:t>
            </w:r>
          </w:p>
        </w:tc>
        <w:tc>
          <w:tcPr>
            <w:tcW w:w="12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International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color w:val="auto"/>
              </w:rPr>
              <w:t>Plans</w:t>
            </w:r>
          </w:p>
        </w:tc>
        <w:tc>
          <w:tcPr>
            <w:tcW w:w="180" w:type="dxa"/>
            <w:vAlign w:val="bottom"/>
          </w:tcPr>
          <w:p>
            <w:pPr>
              <w:spacing w:after="0"/>
              <w:rPr>
                <w:sz w:val="14"/>
                <w:szCs w:val="14"/>
                <w:color w:val="auto"/>
              </w:rPr>
            </w:pPr>
          </w:p>
        </w:tc>
        <w:tc>
          <w:tcPr>
            <w:tcW w:w="8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Plans</w:t>
            </w:r>
          </w:p>
        </w:tc>
        <w:tc>
          <w:tcPr>
            <w:tcW w:w="40" w:type="dxa"/>
            <w:vAlign w:val="bottom"/>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Plans</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Service cost</w:t>
            </w:r>
            <w:r>
              <w:rPr>
                <w:rFonts w:ascii="Times New Roman" w:cs="Times New Roman" w:eastAsia="Times New Roman" w:hAnsi="Times New Roman"/>
                <w:sz w:val="24"/>
                <w:szCs w:val="24"/>
                <w:color w:val="auto"/>
                <w:vertAlign w:val="superscript"/>
              </w:rPr>
              <w:t>(i)</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70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116.2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(59.5)</w:t>
            </w: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2"/>
              </w:rPr>
              <w:t>(4.0)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Settlement losses </w:t>
            </w:r>
            <w:r>
              <w:rPr>
                <w:rFonts w:ascii="Times New Roman" w:cs="Times New Roman" w:eastAsia="Times New Roman" w:hAnsi="Times New Roman"/>
                <w:sz w:val="25"/>
                <w:szCs w:val="25"/>
                <w:color w:val="auto"/>
                <w:vertAlign w:val="superscript"/>
              </w:rPr>
              <w:t>(ii) (iii)</w:t>
            </w:r>
          </w:p>
        </w:tc>
        <w:tc>
          <w:tcPr>
            <w:tcW w:w="100" w:type="dxa"/>
            <w:vAlign w:val="bottom"/>
          </w:tcPr>
          <w:p>
            <w:pPr>
              <w:spacing w:after="0"/>
              <w:rPr>
                <w:sz w:val="18"/>
                <w:szCs w:val="18"/>
                <w:color w:val="auto"/>
              </w:rPr>
            </w:pP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368.7</w:t>
            </w:r>
          </w:p>
        </w:tc>
        <w:tc>
          <w:tcPr>
            <w:tcW w:w="60" w:type="dxa"/>
            <w:vAlign w:val="bottom"/>
          </w:tcPr>
          <w:p>
            <w:pPr>
              <w:spacing w:after="0"/>
              <w:rPr>
                <w:sz w:val="18"/>
                <w:szCs w:val="18"/>
                <w:color w:val="auto"/>
              </w:rPr>
            </w:pPr>
          </w:p>
        </w:tc>
        <w:tc>
          <w:tcPr>
            <w:tcW w:w="8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expense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$ 409.6</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$ 196.2</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640" w:hanging="424"/>
        <w:spacing w:after="0" w:line="208"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Service cost is reported in selling, general and administrative expense. All other components of net periodic pension expense (income) are reported in other (expense), net in the consolidated statements of income (loss).</w:t>
      </w:r>
    </w:p>
    <w:p>
      <w:pPr>
        <w:spacing w:after="0" w:line="1" w:lineRule="exact"/>
        <w:rPr>
          <w:rFonts w:ascii="Times New Roman" w:cs="Times New Roman" w:eastAsia="Times New Roman" w:hAnsi="Times New Roman"/>
          <w:sz w:val="27"/>
          <w:szCs w:val="27"/>
          <w:color w:val="auto"/>
          <w:vertAlign w:val="superscript"/>
        </w:rPr>
      </w:pPr>
    </w:p>
    <w:p>
      <w:pPr>
        <w:ind w:left="424" w:right="140" w:hanging="424"/>
        <w:spacing w:after="0" w:line="222"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second quarter of 2021, the company’s primary pension plan related to its Dutch subsidiary was transferred to a multi-client circle within a multi-employer fund. This action resulted in a pre-tax settlement loss of $182.6 million for the nine months ended September 30, 2021. Additionally, the company’s Swiss subsidiary transferred its defined benefit pension plans to a multiple-employer collective foundation. This action resulted in a pre-tax settlement loss of $28.1 million for the nine months ended September 30, 2021.</w:t>
      </w:r>
    </w:p>
    <w:p>
      <w:pPr>
        <w:spacing w:after="0" w:line="2" w:lineRule="exact"/>
        <w:rPr>
          <w:rFonts w:ascii="Times New Roman" w:cs="Times New Roman" w:eastAsia="Times New Roman" w:hAnsi="Times New Roman"/>
          <w:sz w:val="27"/>
          <w:szCs w:val="27"/>
          <w:color w:val="auto"/>
          <w:vertAlign w:val="superscript"/>
        </w:rPr>
      </w:pPr>
    </w:p>
    <w:p>
      <w:pPr>
        <w:ind w:left="424" w:right="300" w:hanging="424"/>
        <w:spacing w:after="0" w:line="20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January 2021, the company purchased a group annuity contract to transferred projected benefit obligations related to its U.S. defined benefit pension plans. This action resulted in a pre-tax settlement loss of $158.0 million for the nine months ended September 30, 2021.</w:t>
      </w:r>
    </w:p>
    <w:p>
      <w:pPr>
        <w:spacing w:after="0" w:line="198"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In 2022, the company expects to make cash contributions of approximately $38.5 million primarily for the company’s international defined benefit pension plans. In 2021, the company made cash contributions of $52.4 million to its worldwide defined benefit pension plans. During the nine months ended September 30, 2022 and 2021, the company made cash contributions of $30.9 million and $40.3 million, respectively.</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defined benefit pension plans.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6" w:right="43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periodic postretirement benefit income is presented below:</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7"/>
          </w:tcPr>
          <w:p>
            <w:pPr>
              <w:jc w:val="right"/>
              <w:ind w:right="221"/>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6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w w:val="92"/>
              </w:rPr>
              <w:t>2022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2"/>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Service cost</w:t>
            </w:r>
            <w:r>
              <w:rPr>
                <w:rFonts w:ascii="Times New Roman" w:cs="Times New Roman" w:eastAsia="Times New Roman" w:hAnsi="Times New Roman"/>
                <w:sz w:val="24"/>
                <w:szCs w:val="24"/>
                <w:color w:val="auto"/>
                <w:vertAlign w:val="superscript"/>
              </w:rPr>
              <w:t>(i)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postretirement benefit income</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520" w:hanging="424"/>
        <w:spacing w:after="0" w:line="208"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Service cost is reported in selling, general and administrative expense. All other components of net periodic postretirement benefit expense (income) are reported in other (expense), net in the consolidated statements of income (loss).</w:t>
      </w:r>
    </w:p>
    <w:p>
      <w:pPr>
        <w:spacing w:after="0" w:line="92"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The company expects to make cash contributions of approximately $6 million to its postretirement benefit plan in 2022. In 2021, the company made cash contributions of $4.0 million to its postretirement benefit plan. For the nine months ended September 30, 2022 and 2021, the company made cash contributions of $3.0 million and $3.3 million, respectively.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6 - Stock Compensation</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Under stockholder approved stock-based plans, stock options, stock appreciation rights, restricted stock and restricted stock units may be granted to officers, directors and other key employees.</w:t>
      </w:r>
    </w:p>
    <w:p>
      <w:pPr>
        <w:spacing w:after="0" w:line="162"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granted non-qualified stock options, restricted stock and restricted stock units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recorded $15.2 million and $11.5 million of share-based restricted stock and restricted stock unit compensation expense, respectively.</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Restricted stock and restricted stock unit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Restricted stock unit grants for the company’s directors vest upon award and compensation expense for such awards is recognized upon grant.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summary of restricted stock and restricted stock unit (RSU) activity for the nine months ended September 30, 2022 follows (shares in thousands):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Restricted</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6"/>
              </w:rPr>
              <w:t>Average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and RSU</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1,174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3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3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2,348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34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14" w:name="page15"/>
    <w:bookmarkEnd w:id="1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weighted-average grant-date fair value of restricted stock and restricted stock units granted during the nine months ended September 30, 2022 and 2021 was $27.0 million and $32.4 million, respectively. The fair value of restricted stock and restricted stock units with time and performance conditions was determined based on the trading price of the company’s common shares on the date of grant. The fair value of awards with market conditions was estimated using a Monte Carlo simulation with the following weighted-average assumptions:</w:t>
      </w:r>
    </w:p>
    <w:p>
      <w:pPr>
        <w:spacing w:after="0" w:line="202"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color w:val="auto"/>
        </w:rPr>
        <w:t>Nine Months Ended</w:t>
      </w:r>
    </w:p>
    <w:p>
      <w:pPr>
        <w:jc w:val="center"/>
        <w:ind w:left="6460"/>
        <w:spacing w:after="0" w:line="236" w:lineRule="auto"/>
        <w:rPr>
          <w:sz w:val="20"/>
          <w:szCs w:val="20"/>
          <w:color w:val="auto"/>
        </w:rPr>
      </w:pPr>
      <w:r>
        <w:rPr>
          <w:rFonts w:ascii="Times New Roman" w:cs="Times New Roman" w:eastAsia="Times New Roman" w:hAnsi="Times New Roman"/>
          <w:sz w:val="14"/>
          <w:szCs w:val="14"/>
          <w:color w:val="auto"/>
        </w:rPr>
        <w:t>September 30,</w:t>
      </w:r>
    </w:p>
    <w:tbl>
      <w:tblPr>
        <w:tblLayout w:type="fixed"/>
        <w:tblInd w:w="1324"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grant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$34.14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$40.02</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Risk-free interest rate</w:t>
            </w:r>
            <w:r>
              <w:rPr>
                <w:rFonts w:ascii="Times New Roman" w:cs="Times New Roman" w:eastAsia="Times New Roman" w:hAnsi="Times New Roman"/>
                <w:sz w:val="25"/>
                <w:szCs w:val="25"/>
                <w:color w:val="auto"/>
                <w:vertAlign w:val="superscript"/>
              </w:rPr>
              <w:t>(i)</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Expected volatility</w:t>
            </w:r>
            <w:r>
              <w:rPr>
                <w:rFonts w:ascii="Times New Roman" w:cs="Times New Roman" w:eastAsia="Times New Roman" w:hAnsi="Times New Roman"/>
                <w:sz w:val="25"/>
                <w:szCs w:val="25"/>
                <w:color w:val="auto"/>
                <w:vertAlign w:val="superscript"/>
              </w:rPr>
              <w:t>(ii)</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57.71%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57.08%</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Expected life of restricted stock units in years</w:t>
            </w:r>
            <w:r>
              <w:rPr>
                <w:rFonts w:ascii="Times New Roman" w:cs="Times New Roman" w:eastAsia="Times New Roman" w:hAnsi="Times New Roman"/>
                <w:sz w:val="25"/>
                <w:szCs w:val="25"/>
                <w:color w:val="auto"/>
                <w:vertAlign w:val="superscript"/>
              </w:rPr>
              <w:t>(iii)</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49"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the continuously compounded semi-annual zero-coupon U.S. treasury rate commensurate with the remaining performance period.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Based on historical volatility for the company that is commensurate with the length of the performance period.</w:t>
      </w:r>
    </w:p>
    <w:p>
      <w:pPr>
        <w:spacing w:after="0" w:line="2" w:lineRule="exact"/>
        <w:rPr>
          <w:rFonts w:ascii="Times New Roman" w:cs="Times New Roman" w:eastAsia="Times New Roman" w:hAnsi="Times New Roman"/>
          <w:sz w:val="24"/>
          <w:szCs w:val="24"/>
          <w:color w:val="auto"/>
          <w:vertAlign w:val="superscript"/>
        </w:rPr>
      </w:pPr>
    </w:p>
    <w:p>
      <w:pPr>
        <w:ind w:left="424" w:hanging="424"/>
        <w:spacing w:after="0" w:line="186" w:lineRule="auto"/>
        <w:tabs>
          <w:tab w:leader="none" w:pos="424"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the remaining life of the longest performance period.</w:t>
      </w:r>
    </w:p>
    <w:p>
      <w:pPr>
        <w:spacing w:after="0" w:line="198"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As of September 30, 2022, there was $34.0 million of total unrecognized compensation cost related to outstanding restricted stock and restricted stock units granted under the company’s plans. That cost is expected to be recognized over a weighted-average period of 2.1 years. The aggregate weighted-average grant-date fair value of restricted stock and restricted stock units vested during the nine months ended September 30, 2022 and 2021 was $16.6 million and $14.8 million, respectively.</w:t>
      </w:r>
    </w:p>
    <w:p>
      <w:pPr>
        <w:spacing w:after="0" w:line="180" w:lineRule="exact"/>
        <w:rPr>
          <w:sz w:val="20"/>
          <w:szCs w:val="20"/>
          <w:color w:val="auto"/>
        </w:rPr>
      </w:pPr>
    </w:p>
    <w:p>
      <w:pPr>
        <w:jc w:val="both"/>
        <w:ind w:left="4" w:right="40"/>
        <w:spacing w:after="0" w:line="312" w:lineRule="auto"/>
        <w:rPr>
          <w:sz w:val="20"/>
          <w:szCs w:val="20"/>
          <w:color w:val="auto"/>
        </w:rPr>
      </w:pPr>
      <w:r>
        <w:rPr>
          <w:rFonts w:ascii="Times New Roman" w:cs="Times New Roman" w:eastAsia="Times New Roman" w:hAnsi="Times New Roman"/>
          <w:sz w:val="17"/>
          <w:szCs w:val="17"/>
          <w:color w:val="auto"/>
        </w:rPr>
        <w:t>Common stock issued upon the lapse of restrictions on restricted stock and restricted stock units are newly issued shares. In light of its tax position, the company is currently not recognizing any tax benefits from the issuance of stock upon lapse of restrictions on restricted stock and restricted stock units.</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7 - Other (expense),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(expense), net is comprised of the following:</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620" w:type="dxa"/>
            <w:vAlign w:val="bottom"/>
            <w:gridSpan w:val="6"/>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1540" w:type="dxa"/>
            <w:vAlign w:val="bottom"/>
            <w:gridSpan w:val="5"/>
          </w:tcPr>
          <w:p>
            <w:pPr>
              <w:jc w:val="right"/>
              <w:ind w:right="161"/>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6800" w:type="dxa"/>
            <w:vAlign w:val="bottom"/>
          </w:tcPr>
          <w:p>
            <w:pPr>
              <w:spacing w:after="0"/>
              <w:rPr>
                <w:sz w:val="14"/>
                <w:szCs w:val="14"/>
                <w:color w:val="auto"/>
              </w:rPr>
            </w:pPr>
          </w:p>
        </w:tc>
        <w:tc>
          <w:tcPr>
            <w:tcW w:w="16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4"/>
                <w:szCs w:val="14"/>
                <w:color w:val="auto"/>
              </w:rPr>
            </w:pPr>
          </w:p>
        </w:tc>
        <w:tc>
          <w:tcPr>
            <w:tcW w:w="154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680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expense*</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0"/>
              </w:rPr>
              <w:t>$ (10.9)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costs and other, net</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w:t>
            </w:r>
          </w:p>
        </w:tc>
        <w:tc>
          <w:tcPr>
            <w:tcW w:w="8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(27.4)</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(23.3</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(66.2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(434.6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right="200" w:hanging="4"/>
        <w:spacing w:after="0" w:line="261" w:lineRule="auto"/>
        <w:tabs>
          <w:tab w:leader="none" w:pos="4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$368.7 million in the nine months ended September 30, 2021 of settlement losses related to defined benefit pension plans. See Note 5. ** Includes net foreign losses of $1.9 million and $1.3 million, respectively, in the three months ended September 30, 2022 and 2021, related to</w:t>
      </w:r>
    </w:p>
    <w:p>
      <w:pPr>
        <w:ind w:left="4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completion of liquidation of foreign subsidiaries. Includes net foreign currency losses of $4.8 million and $2.9 million, respectively, in the nine months ended September 30, 2022 and 2021, related to substantial completion of liquidation of foreign subsidiaries.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4"/>
          </w:cols>
          <w:pgMar w:left="436" w:top="270" w:right="519" w:bottom="1440" w:gutter="0" w:footer="0" w:header="0"/>
        </w:sectPr>
      </w:pPr>
    </w:p>
    <w:bookmarkStart w:id="15" w:name="page16"/>
    <w:bookmarkEnd w:id="15"/>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evaluates the realizability of its deferred tax assets by assessing its valuation allowance and by adjusting the amount of such allowance, if necessary. The realization of the company’s net deferred tax assets as of September 30,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the company has determined that a portion of its non-U.S. net deferred tax assets no longer requires a valuation allowance as of September 30, 2022. The release of the valuation allowance for the three and nine months ended September 30, 2022 was approximately $10.4 million and $12.1 million, respectively, primarily in the United Kingdom and other European jurisdictions.</w:t>
      </w:r>
    </w:p>
    <w:p>
      <w:pPr>
        <w:spacing w:after="0" w:line="188"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spacing w:after="0" w:line="183"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A corporation’s ability to deduct its federal net operating loss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shareholders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the company’s ability to utilize its NOL carryforwards and other tax attributes.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9 - Loss Per Share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shows how loss per share attributable to Unisys Corporation was computed (shares in thousands):</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loss per common share computation: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67,131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6"/>
              </w:rPr>
              <w:t>66,211</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 computation: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Unisys Corporation</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67,131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6"/>
              </w:rPr>
              <w:t>66,211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Plus incremental shares from assumed conversions of employee stock plans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67,787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67,131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67,623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6"/>
              </w:rPr>
              <w:t>66,211</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Anti-dilutive weighted-average stock options and restricted stock units</w:t>
            </w:r>
            <w:r>
              <w:rPr>
                <w:rFonts w:ascii="Times New Roman" w:cs="Times New Roman" w:eastAsia="Times New Roman" w:hAnsi="Times New Roman"/>
                <w:sz w:val="24"/>
                <w:szCs w:val="24"/>
                <w:color w:val="auto"/>
                <w:vertAlign w:val="superscript"/>
              </w:rPr>
              <w:t>(i)</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08"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Amounts represent shares excluded from the computation of diluted loss per share, as their effect, if included, would have been anti-dilutive for the periods presented.</w:t>
      </w:r>
    </w:p>
    <w:p>
      <w:pPr>
        <w:spacing w:after="0" w:line="13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10 - Contract Assets and Deferred Revenue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Net contract assets (liabilities) are as follows:</w:t>
      </w:r>
    </w:p>
    <w:p>
      <w:pPr>
        <w:sectPr>
          <w:pgSz w:w="11900" w:h="16838" w:orient="portrait"/>
          <w:cols w:equalWidth="0" w:num="1">
            <w:col w:w="10984"/>
          </w:cols>
          <w:pgMar w:left="436" w:top="266" w:right="4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Contract assets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-119380</wp:posOffset>
            </wp:positionV>
            <wp:extent cx="53149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324"/>
        <w:spacing w:after="0" w:line="207" w:lineRule="auto"/>
        <w:rPr>
          <w:sz w:val="20"/>
          <w:szCs w:val="20"/>
          <w:color w:val="auto"/>
        </w:rPr>
      </w:pPr>
      <w:r>
        <w:rPr>
          <w:rFonts w:ascii="Times New Roman" w:cs="Times New Roman" w:eastAsia="Times New Roman" w:hAnsi="Times New Roman"/>
          <w:sz w:val="18"/>
          <w:szCs w:val="18"/>
          <w:color w:val="auto"/>
        </w:rPr>
        <w:t>Contract assets - long-term</w:t>
      </w:r>
      <w:r>
        <w:rPr>
          <w:rFonts w:ascii="Times New Roman" w:cs="Times New Roman" w:eastAsia="Times New Roman" w:hAnsi="Times New Roman"/>
          <w:sz w:val="26"/>
          <w:szCs w:val="26"/>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0</wp:posOffset>
            </wp:positionV>
            <wp:extent cx="53149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324"/>
        <w:spacing w:after="0"/>
        <w:rPr>
          <w:sz w:val="20"/>
          <w:szCs w:val="20"/>
          <w:color w:val="auto"/>
        </w:rPr>
      </w:pPr>
      <w:r>
        <w:rPr>
          <w:rFonts w:ascii="Times New Roman" w:cs="Times New Roman" w:eastAsia="Times New Roman" w:hAnsi="Times New Roman"/>
          <w:sz w:val="18"/>
          <w:szCs w:val="18"/>
          <w:color w:val="auto"/>
        </w:rPr>
        <w:t>Deferred revenue - current</w:t>
      </w:r>
    </w:p>
    <w:p>
      <w:pPr>
        <w:spacing w:after="0" w:line="7"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Deferred revenue - long-term</w:t>
      </w:r>
    </w:p>
    <w:p>
      <w:pPr>
        <w:spacing w:after="0" w:line="234" w:lineRule="exact"/>
        <w:rPr>
          <w:sz w:val="20"/>
          <w:szCs w:val="20"/>
          <w:color w:val="auto"/>
        </w:rPr>
      </w:pPr>
    </w:p>
    <w:p>
      <w:pPr>
        <w:ind w:left="4" w:right="520" w:hanging="4"/>
        <w:spacing w:after="0" w:line="412" w:lineRule="auto"/>
        <w:tabs>
          <w:tab w:leader="none" w:pos="436"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Reported in other long-term assets on the company’s consolidated balance sheets. Significant changes in the above contract liability balances were as follows:</w:t>
      </w:r>
    </w:p>
    <w:p>
      <w:pPr>
        <w:spacing w:after="0" w:line="200" w:lineRule="exact"/>
        <w:rPr>
          <w:sz w:val="20"/>
          <w:szCs w:val="20"/>
          <w:color w:val="auto"/>
        </w:rPr>
      </w:pPr>
    </w:p>
    <w:p>
      <w:pPr>
        <w:spacing w:after="0" w:line="2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Revenue recognized that was included in deferred revenue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-111760</wp:posOffset>
            </wp:positionV>
            <wp:extent cx="642937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3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11 - Capitalized Contract Costs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color w:val="auto"/>
                <w:w w:val="96"/>
              </w:rPr>
              <w:t>September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2022</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26.3</w:t>
            </w:r>
          </w:p>
        </w:tc>
        <w:tc>
          <w:tcPr>
            <w:tcW w:w="760" w:type="dxa"/>
            <w:vAlign w:val="bottom"/>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Three Months Ended</w:t>
            </w:r>
          </w:p>
        </w:tc>
        <w:tc>
          <w:tcPr>
            <w:tcW w:w="13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September 30,</w:t>
            </w:r>
          </w:p>
        </w:tc>
        <w:tc>
          <w:tcPr>
            <w:tcW w:w="13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5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34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0" w:type="dxa"/>
            <w:vAlign w:val="bottom"/>
          </w:tcPr>
          <w:p>
            <w:pPr>
              <w:spacing w:after="0"/>
              <w:rPr>
                <w:sz w:val="12"/>
                <w:szCs w:val="12"/>
                <w:color w:val="auto"/>
              </w:rPr>
            </w:pPr>
          </w:p>
        </w:tc>
      </w:tr>
      <w:tr>
        <w:trPr>
          <w:trHeight w:val="228"/>
        </w:trPr>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$ 40.7</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47.5</w:t>
            </w: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$185.5</w:t>
            </w:r>
          </w:p>
        </w:tc>
        <w:tc>
          <w:tcPr>
            <w:tcW w:w="3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$210.4</w:t>
            </w:r>
          </w:p>
        </w:tc>
        <w:tc>
          <w:tcPr>
            <w:tcW w:w="20" w:type="dxa"/>
            <w:vAlign w:val="bottom"/>
          </w:tcPr>
          <w:p>
            <w:pPr>
              <w:spacing w:after="0"/>
              <w:rPr>
                <w:sz w:val="19"/>
                <w:szCs w:val="19"/>
                <w:color w:val="auto"/>
              </w:rPr>
            </w:pPr>
          </w:p>
        </w:tc>
      </w:tr>
    </w:tbl>
    <w:p>
      <w:pPr>
        <w:spacing w:after="0" w:line="611" w:lineRule="exact"/>
        <w:rPr>
          <w:sz w:val="20"/>
          <w:szCs w:val="20"/>
          <w:color w:val="auto"/>
        </w:rPr>
      </w:pPr>
    </w:p>
    <w:p>
      <w:pPr>
        <w:sectPr>
          <w:pgSz w:w="11900" w:h="16838" w:orient="portrait"/>
          <w:cols w:equalWidth="0" w:num="2">
            <w:col w:w="6824" w:space="380"/>
            <w:col w:w="3780"/>
          </w:cols>
          <w:pgMar w:left="436" w:top="266" w:right="479" w:bottom="1440" w:gutter="0" w:footer="0" w:header="0"/>
          <w:type w:val="continuous"/>
        </w:sect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consolidated balance sheets. At September 30, 2022 and December 31, 2021, the company had $4.1 million and $6.7 million, respectively, of deferred commissions.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Amortization expense related to deferred commissions was as follows:</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5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September 30,</w:t>
            </w: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Deferred commissions - amortization expense</w:t>
            </w:r>
            <w:r>
              <w:rPr>
                <w:rFonts w:ascii="Times New Roman" w:cs="Times New Roman" w:eastAsia="Times New Roman" w:hAnsi="Times New Roman"/>
                <w:sz w:val="24"/>
                <w:szCs w:val="24"/>
                <w:color w:val="auto"/>
                <w:vertAlign w:val="superscript"/>
              </w:rPr>
              <w:t>(i)</w:t>
            </w:r>
          </w:p>
        </w:tc>
        <w:tc>
          <w:tcPr>
            <w:tcW w:w="17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w:t>
            </w:r>
          </w:p>
        </w:tc>
        <w:tc>
          <w:tcPr>
            <w:tcW w:w="40" w:type="dxa"/>
            <w:vAlign w:val="bottom"/>
            <w:shd w:val="clear" w:color="auto" w:fill="CCEEFF"/>
          </w:tcPr>
          <w:p>
            <w:pPr>
              <w:spacing w:after="0"/>
              <w:rPr>
                <w:sz w:val="18"/>
                <w:szCs w:val="18"/>
                <w:color w:val="auto"/>
              </w:rPr>
            </w:pPr>
          </w:p>
        </w:tc>
      </w:tr>
    </w:tbl>
    <w:p>
      <w:pPr>
        <w:spacing w:after="0" w:line="149"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Reported in selling, general and administrative expense in the company’s consolidated statements of income (loss).</w:t>
      </w:r>
    </w:p>
    <w:p>
      <w:pPr>
        <w:spacing w:after="0" w:line="198" w:lineRule="exact"/>
        <w:rPr>
          <w:sz w:val="20"/>
          <w:szCs w:val="20"/>
          <w:color w:val="auto"/>
        </w:rPr>
      </w:pPr>
    </w:p>
    <w:p>
      <w:pPr>
        <w:jc w:val="both"/>
        <w:ind w:left="4" w:right="180"/>
        <w:spacing w:after="0" w:line="261" w:lineRule="auto"/>
        <w:rPr>
          <w:sz w:val="20"/>
          <w:szCs w:val="20"/>
          <w:color w:val="auto"/>
        </w:rPr>
      </w:pPr>
      <w:r>
        <w:rPr>
          <w:rFonts w:ascii="Times New Roman" w:cs="Times New Roman" w:eastAsia="Times New Roman" w:hAnsi="Times New Roman"/>
          <w:sz w:val="18"/>
          <w:szCs w:val="18"/>
          <w:color w:val="auto"/>
        </w:rPr>
        <w:t>Costs on outsourcing contracts are generally expensed as incurred. However, certain costs incurred upon initiation of an outsourcing contract (costs to fulfill a contract), principally initial customer setup, are capitalized and expensed over the initial contract life. These costs are included in outsourcing assets, net in the company’s consolidated balance sheets. The amount of such costs at September 30, 2022 and December 31, 2021 was $38.8 million and $56.2 million, respectively. These costs are amortized over the initial contract life and reported in cost of revenue.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Amortization expense related to costs to fulfill a contract was as follows:</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8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Three Months Ended</w:t>
            </w: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680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September 30,</w:t>
            </w:r>
          </w:p>
        </w:tc>
        <w:tc>
          <w:tcPr>
            <w:tcW w:w="14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680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2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40" w:type="dxa"/>
            <w:vAlign w:val="bottom"/>
          </w:tcPr>
          <w:p>
            <w:pPr>
              <w:spacing w:after="0"/>
              <w:rPr>
                <w:sz w:val="12"/>
                <w:szCs w:val="12"/>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to fulfill a contract - amortization expense</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remaining balance of outsourcing assets, net is comprised of fixed assets and software used in connection with outsourcing contracts. These costs are capitalized and depreciated over the shorter of the initial contract life or in accordance with the company’s fixed asset policy.</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12 - Financial Instruments and Fair Value Measurements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Due to its foreign operations, the company is exposed to the effects of foreign currency exchange rate fluctuations on the U.S. dollar, principally related to intercompany account balances. The company uses derivative financial instruments to reduce its exposure to market risks from changes in foreign currency exchange rates on such balances. The company enters into foreign exchange forward contracts, generally having maturities of three months or less, which have not been designated as hedging instruments. At September 30, 2022 and December 31, 2021, the notional amount of these contracts was $484.9 million and $552.2 million, respectively. The fair value of these forward contracts is based on quoted prices for similar but not identical financial instruments; as such, the inputs are considered Level 2 inputs.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foreign exchange forward contracts.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and amount of gains and (losses) recognized on foreign exchange forward contracts.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146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688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September 30,</w:t>
            </w:r>
          </w:p>
        </w:tc>
        <w:tc>
          <w:tcPr>
            <w:tcW w:w="160" w:type="dxa"/>
            <w:vAlign w:val="bottom"/>
          </w:tcPr>
          <w:p>
            <w:pPr>
              <w:spacing w:after="0"/>
              <w:rPr>
                <w:sz w:val="14"/>
                <w:szCs w:val="14"/>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September 30,</w:t>
            </w:r>
          </w:p>
        </w:tc>
      </w:tr>
      <w:tr>
        <w:trPr>
          <w:trHeight w:val="142"/>
        </w:trPr>
        <w:tc>
          <w:tcPr>
            <w:tcW w:w="688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Income Location</w:t>
            </w: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1"/>
              </w:rPr>
              <w:t>$ (33.1)</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(11.4)</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(15.7)</w:t>
            </w:r>
          </w:p>
        </w:tc>
      </w:tr>
    </w:tbl>
    <w:p>
      <w:pPr>
        <w:spacing w:after="0" w:line="17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Financial assets with carrying values approximating fair value include cash and cash equivalents and accounts receivable. Financial liabilities with carrying values approximating fair value include accounts payable and other liabilities. The carrying amounts of these financial assets and liabilities approximate fair value due to their short maturities. Such financial instruments are not included in the following table that provides information about the estimated fair values of other financial instruments that are not measured at fair value in the consolidated balance sheets as of September 30, 2022 and December 31, 2021.</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5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September 30, 2022</w:t>
            </w:r>
          </w:p>
        </w:tc>
        <w:tc>
          <w:tcPr>
            <w:tcW w:w="160" w:type="dxa"/>
            <w:vAlign w:val="bottom"/>
          </w:tcPr>
          <w:p>
            <w:pPr>
              <w:spacing w:after="0"/>
              <w:rPr>
                <w:sz w:val="14"/>
                <w:szCs w:val="14"/>
                <w:color w:val="auto"/>
              </w:rPr>
            </w:pPr>
          </w:p>
        </w:tc>
        <w:tc>
          <w:tcPr>
            <w:tcW w:w="14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19"/>
        </w:trPr>
        <w:tc>
          <w:tcPr>
            <w:tcW w:w="704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Carrying</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3"/>
                <w:szCs w:val="13"/>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40" w:type="dxa"/>
            <w:vAlign w:val="bottom"/>
          </w:tcPr>
          <w:p>
            <w:pPr>
              <w:spacing w:after="0"/>
              <w:rPr>
                <w:sz w:val="10"/>
                <w:szCs w:val="10"/>
                <w:color w:val="auto"/>
              </w:rPr>
            </w:pPr>
          </w:p>
        </w:tc>
      </w:tr>
      <w:tr>
        <w:trPr>
          <w:trHeight w:val="171"/>
        </w:trPr>
        <w:tc>
          <w:tcPr>
            <w:tcW w:w="70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5"/>
              </w:rPr>
              <w:t>Value</w:t>
            </w:r>
          </w:p>
        </w:tc>
        <w:tc>
          <w:tcPr>
            <w:tcW w:w="1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6.875% senior secured notes due November 1, 2027</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$479.0</w:t>
            </w: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$381.9</w:t>
            </w:r>
          </w:p>
        </w:tc>
        <w:tc>
          <w:tcPr>
            <w:tcW w:w="1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$478.1</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$527.0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carried at amortized cost and its estimated fair value is based on market prices classified as Level 2 in the fair value hierarchy.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66" w:right="53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13 - Goodwill and Intangible Assets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Changes in the carrying value of goodwill by reporting unit were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DWS</w:t>
            </w: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CA&amp;I</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ECS</w:t>
            </w: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Other</w:t>
            </w: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$ 65.5</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 Measurement period adjustment (see Note 3)</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286.2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$ 38.0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98.3</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w:t>
            </w:r>
          </w:p>
        </w:tc>
        <w:tc>
          <w:tcPr>
            <w:tcW w:w="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September 30, 2022, the amount of goodwill allocated to reporting units with negative net assets within Other was $10.3 million.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Intangible assets, net at September 30, 2022 consists of the following:</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Gross Carrying</w:t>
            </w:r>
          </w:p>
        </w:tc>
        <w:tc>
          <w:tcPr>
            <w:tcW w:w="14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Accumulated</w:t>
            </w:r>
          </w:p>
        </w:tc>
        <w:tc>
          <w:tcPr>
            <w:tcW w:w="146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Net Carrying</w:t>
            </w:r>
          </w:p>
        </w:tc>
      </w:tr>
      <w:tr>
        <w:trPr>
          <w:trHeight w:val="171"/>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Amount</w:t>
            </w:r>
          </w:p>
        </w:tc>
        <w:tc>
          <w:tcPr>
            <w:tcW w:w="14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Amortization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r>
      <w:tr>
        <w:trPr>
          <w:trHeight w:val="210"/>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Technology </w:t>
            </w:r>
            <w:r>
              <w:rPr>
                <w:rFonts w:ascii="Times New Roman" w:cs="Times New Roman" w:eastAsia="Times New Roman" w:hAnsi="Times New Roman"/>
                <w:sz w:val="24"/>
                <w:szCs w:val="24"/>
                <w:color w:val="auto"/>
                <w:vertAlign w:val="superscript"/>
              </w:rPr>
              <w:t>(i)</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Customer relationships </w:t>
            </w:r>
            <w:r>
              <w:rPr>
                <w:rFonts w:ascii="Times New Roman" w:cs="Times New Roman" w:eastAsia="Times New Roman" w:hAnsi="Times New Roman"/>
                <w:sz w:val="25"/>
                <w:szCs w:val="25"/>
                <w:color w:val="auto"/>
                <w:vertAlign w:val="superscript"/>
              </w:rPr>
              <w:t>(ii)</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Marketing </w:t>
            </w:r>
            <w:r>
              <w:rPr>
                <w:rFonts w:ascii="Times New Roman" w:cs="Times New Roman" w:eastAsia="Times New Roman" w:hAnsi="Times New Roman"/>
                <w:sz w:val="25"/>
                <w:szCs w:val="25"/>
                <w:color w:val="auto"/>
                <w:vertAlign w:val="superscript"/>
              </w:rPr>
              <w:t>(ii)</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Amortization expense is included within cost of revenue—technology in the consolidated statements of income (loss).</w:t>
      </w:r>
    </w:p>
    <w:p>
      <w:pPr>
        <w:spacing w:after="0" w:line="1" w:lineRule="exact"/>
        <w:rPr>
          <w:rFonts w:ascii="Times New Roman" w:cs="Times New Roman" w:eastAsia="Times New Roman" w:hAnsi="Times New Roman"/>
          <w:sz w:val="27"/>
          <w:szCs w:val="27"/>
          <w:color w:val="auto"/>
          <w:vertAlign w:val="superscript"/>
        </w:rPr>
      </w:pPr>
    </w:p>
    <w:p>
      <w:pPr>
        <w:ind w:left="424" w:right="220" w:hanging="424"/>
        <w:spacing w:after="0" w:line="199" w:lineRule="auto"/>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Amortization expense is included within selling, general and administrative expense in the consolidated statements of income (loss). See Note 3 for measurement period adjustment.</w:t>
      </w:r>
    </w:p>
    <w:p>
      <w:pPr>
        <w:spacing w:after="0" w:line="19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amortization expense was $2.4 million and $1.2 million, respectively. For the nine months ended September 30, 2022 and 2021 amortization expense was $7.7 million and $1.7 million, respectively.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future amortization relating to acquired intangible assets at September 30, 2022 was estimated as follows:</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Future 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3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4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14 - Debt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Long-term debt is comprised of the following:</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6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4"/>
                <w:szCs w:val="14"/>
                <w:color w:val="auto"/>
              </w:rPr>
            </w:pPr>
          </w:p>
        </w:tc>
      </w:tr>
      <w:tr>
        <w:trPr>
          <w:trHeight w:val="178"/>
        </w:trPr>
        <w:tc>
          <w:tcPr>
            <w:tcW w:w="6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6.875% senior secured notes due November 1, 2027 (Face value of</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$485.0 million less unamortized issuance costs of $6.0 and $6.9 million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September 30, 2022 and at December 31, 2021)</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479.0</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478.1</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4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current maturities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4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Note 12 for the fair value of the notes.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2027</w:t>
      </w:r>
    </w:p>
    <w:p>
      <w:pPr>
        <w:spacing w:after="0" w:line="121"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The company has $485.0 million aggregate principal amount of its 6.875% Senior Secured Notes due 2027 (the 2027 Notes). The 2027 Notes pay interest semiannually on May 1 and November 1 and will mature on November 1, 2027, unless earlier repurchased or redeemed. The 2027 Notes are fully and unconditionally guaranteed on a senior secured basis by Unisys Holding Corporation, Unisys NPL, Inc., Unisys AP Investment Company I, CompuGain LLC and CompuGain Public Services, LLC, each of which is a U.S. corporation or limited liability company that is directly or indirectly owned by the company (the subsidiary guarantors).</w:t>
      </w:r>
    </w:p>
    <w:p>
      <w:pPr>
        <w:spacing w:after="0" w:line="18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2027 Notes and the related guarantees rank equally in right of payment with all of the existing and future senior debt of the company and its subsidiary guarantors and senior in right of payment to any future subordinated debt of the company and its subsidiary guarantors. The 2027 Notes and the related guarantees are structurally subordinated to all existing and future liabilities (including preferred stock, trade payables and pension liabilities) of the subsidiaries of the company that are not subsidiary guarantors. The 2027 Notes and the guarantees are secured by liens on substantially all assets of the company and the subsidiary guarantors, other than certain excluded assets (the collateral). The liens securing the 2027 Notes on certain ABL collateral are subordinated to the liens on ABL collateral in favor of the ABL secured parties and, in the future, the liens securing the 2027 Notes may be subordinated to liens on the collateral securing certain permitted first lien debt, subject to certain limitations and permitted liens.</w:t>
      </w:r>
    </w:p>
    <w:p>
      <w:pPr>
        <w:spacing w:after="0" w:line="189" w:lineRule="exact"/>
        <w:rPr>
          <w:sz w:val="20"/>
          <w:szCs w:val="20"/>
          <w:color w:val="auto"/>
        </w:rPr>
      </w:pPr>
    </w:p>
    <w:p>
      <w:pPr>
        <w:ind w:left="4" w:right="160"/>
        <w:spacing w:after="0" w:line="272" w:lineRule="auto"/>
        <w:rPr>
          <w:sz w:val="20"/>
          <w:szCs w:val="20"/>
          <w:color w:val="auto"/>
        </w:rPr>
      </w:pPr>
      <w:r>
        <w:rPr>
          <w:rFonts w:ascii="Times New Roman" w:cs="Times New Roman" w:eastAsia="Times New Roman" w:hAnsi="Times New Roman"/>
          <w:sz w:val="17"/>
          <w:szCs w:val="17"/>
          <w:color w:val="auto"/>
        </w:rPr>
        <w:t>Prior to November 1, 2023, the company may, at its option, redeem some or all of the 2027 Notes at any time, at a price equal to 100% of the principal amount of the 2027 Notes redeemed plus a “make-whole” premium, plus accrued and unpaid interest, if any. The company may also redeem, at its option, up to 40% of the 2027 Notes at any time prior to November 1, 2023, using the proceeds of certain equity offerings at a redemption price of</w:t>
      </w:r>
    </w:p>
    <w:p>
      <w:pPr>
        <w:spacing w:after="0" w:line="2"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106.875% of the principal amount thereof, plus accrued and unpaid interest, if any. On or after November 1, 2023, the company may, on any one or more occasions, redeem all or a part of the 2027 Notes at specified redemption premiums, declining to par for any redemptions on or after November 1, 2025.</w:t>
      </w:r>
    </w:p>
    <w:p>
      <w:pPr>
        <w:spacing w:after="0" w:line="186"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The indenture contains covenants that limit the ability of the company and its restricted subsidiaries to, among other things: (i) incur additional indebtedness and guarantee indebtedness; (ii) pay dividends or make other distributions or repurchase or redeem its capital stock; (iii) prepay, redeem or repurchase certain debt; (iv) make certain prepayments in respect of pension obligations; (v) issue certain preferred stock or similar equity securities;</w:t>
      </w:r>
    </w:p>
    <w:p>
      <w:pPr>
        <w:spacing w:after="0" w:line="1" w:lineRule="exact"/>
        <w:rPr>
          <w:sz w:val="20"/>
          <w:szCs w:val="20"/>
          <w:color w:val="auto"/>
        </w:rPr>
      </w:pPr>
    </w:p>
    <w:p>
      <w:pPr>
        <w:ind w:left="4" w:hanging="4"/>
        <w:spacing w:after="0" w:line="277" w:lineRule="auto"/>
        <w:tabs>
          <w:tab w:leader="none" w:pos="30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 (including investments by the company and subsidiary guarantors in subsidiaries that are not guarantors); (vii) sell assets; (viii) create or incur liens; (ix) enter into transactions with affiliates; (x) enter into agreements restricting its subsidiaries’ ability to pay dividends; and (xi) consolidate, merge or sell all or substantially all of its assets. These covenants are subject to several important limitations and exceptions.</w:t>
      </w:r>
    </w:p>
    <w:p>
      <w:pPr>
        <w:spacing w:after="0" w:line="1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20" w:name="page21"/>
    <w:bookmarkEnd w:id="20"/>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experiences certain kinds of changes of control (as defined in the indenture), it will be required to offer to repurchase the 2027 Notes at 101% of the principal amount of the 2027 Notes, plus accrued and unpaid interest as of the repurchase date, if any. In addition, if the company sells assets, under certain circumstances it must apply the proceeds towards an offer to repurchase the 2027 Notes at a price equal to par plus accrued and unpaid interest, if any.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indenture also provides for events of default, which, if any of them occur, would permit or require the principal, premium, if any, interest and any other monetary obligations on all the then outstanding 2027 Notes to be due and payable immediately.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2027 Notes is comprised of the following:</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ind w:left="22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4"/>
                <w:szCs w:val="14"/>
                <w:color w:val="auto"/>
              </w:rPr>
            </w:pPr>
          </w:p>
        </w:tc>
        <w:tc>
          <w:tcPr>
            <w:tcW w:w="1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2021</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March 3,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received 1,251,460 shares of its common stock, now held in treasury stock, from the settlement of the capped call transactions that the company had entered into with the initial purchasers and/or affiliates of the initial purchasers of the 2021 Notes in connection with the issuance of the 2021 Notes. As a result, the net number of outstanding shares of the company’s common stock following the conversion of the 2021 Notes increased by 3,285,663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related to the 2021 Notes was as follows: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w w:val="99"/>
              </w:rPr>
              <w:t>September 30, 2021</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a $27.7 million Installment Payment Agreement (IPA) maturing on December 20, 2023 with a syndicate of financial institutions to finance the acquisition of certain software licenses necessary for the provision of services to a client. Interest accrues at an annual rate of 7.0% and the company is required to make monthly principal and interest payments on each agreement in arrears. At September 30, 2022, $5.4 million was reported in current maturities of long-term debt.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vendor agreement in the amount of $19.3 million to finance the acquisition of certain software licenses used to provide services to our clients and for its own internal use. Interest accrues at an annual rate of 5.47% and the company is required to make annual principal and interest payments in advance with the last payment due on March 1, 2024. At September 30, 2022, $4.0 million was reported in current maturities of long-term debt.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Based Lending (ABL) Credit Facility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a secured revolving credit facility (the Amended and Restated ABL Credit Facility) that matures on October 29, 2025 and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September 30, 2022, the company had no borrowings and $6.3 million of letters of credit outstanding, and availability under the facility was $66.3 million net of letters of credit issued.</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September 30, 2022, the company has met all covenants and conditions under its various lending and funding agreements. For at least the next 12 months, the company expects to continue to meet these covenants and conditions following the filing of the company’s quarterly report on Form 10-Q for the period ended September 30, 2022, which the company expects to file within the next several 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Litigation and Contingencies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There are various lawsuits, claims, investigations and proceedings that have been brought or asserted against the company, which arise in the ordinary course of business, including actions with respect to commercial and government contracts, labor and employment, employee benefits, environmental matters, intellectual property and non-income tax matters. The company records a provision for these matters when it is both probable that a liability has been incurred and the amount of the loss can be reasonably estimated. Any provisions are reviewed at least quarterly and are adjusted to reflect the impact and status of settlements, rulings, advice of counsel and other information and events pertinent to a particular matter.</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believes that it has valid defenses with respect to legal matters pending against it. Based on its experience, the company also believes that the damage amounts claimed in the lawsuits disclosed below are not a meaningful indicator of the company’s potential liability. Litigation is inherently unpredictable, however, and it is possible that the company’s results of operations or cash flow could be materially affected in any particular period by the resolution of one or more of the legal matters pending against it.</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 September 30, 2022, excluding those matters that have been assessed by management as being remote as to the likelihood of ultimately resulting in a loss, the amount related to unreserved tax-related matters, inclusive of any related interest, is estimated to be up to approximately $103.3 million.</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November 11, 2022, a purported stockholder of the company filed a putative securities class action complaint in the United States District Court for the Eastern District of Pennsylvania against the company and certain of its current officers, alleging violations of the Securities Exchange Act of 1934, as amended, based on allegedly false or misleading statements related to projections and certain other statements positively characterizing the company’s momentum, business, prospects and operations, and the effectiveness of the company’s internal control over financial reporting and the company’s disclosure controls and procedures. The plaintiff seeks an award of compensatory damages, among other relief, and costs and attorneys’ and experts’ fees.</w:t>
      </w:r>
    </w:p>
    <w:p>
      <w:pPr>
        <w:sectPr>
          <w:pgSz w:w="11900" w:h="16838" w:orient="portrait"/>
          <w:cols w:equalWidth="0" w:num="1">
            <w:col w:w="11000"/>
          </w:cols>
          <w:pgMar w:left="440" w:top="266" w:right="4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type w:val="continuous"/>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Litigation is inherently unpredictable and unfavorable resolutions could occur. Accordingly, it is possible that an adverse outcome from such matters could exceed the amounts accrued in an amount that could be material to the company’s financial condition, results of operations and cash flows in any particular reporting period.</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that the ultimate results of the lawsuits, claims, investigations and proceedings that have been brought or asserted against the company are not currently determinable, the company believes that at September 30, 2022, it has adequate provisions for any such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Pr>
          <w:p>
            <w:pPr>
              <w:spacing w:after="0"/>
              <w:rPr>
                <w:sz w:val="13"/>
                <w:szCs w:val="13"/>
                <w:color w:val="auto"/>
              </w:rPr>
            </w:pPr>
          </w:p>
        </w:tc>
        <w:tc>
          <w:tcPr>
            <w:tcW w:w="11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color w:val="auto"/>
              </w:rPr>
              <w:t>Translation</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Postretirement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6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Adjustments</w:t>
            </w: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$(3,264.1)</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18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(3,232.2)</w:t>
            </w:r>
          </w:p>
        </w:tc>
        <w:tc>
          <w:tcPr>
            <w:tcW w:w="12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(1,060.8)</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loss are as follows:</w:t>
            </w: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138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4"/>
                <w:szCs w:val="14"/>
                <w:color w:val="auto"/>
              </w:rPr>
            </w:pPr>
          </w:p>
        </w:tc>
        <w:tc>
          <w:tcPr>
            <w:tcW w:w="12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3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Translation adjustments:</w:t>
            </w:r>
          </w:p>
        </w:tc>
        <w:tc>
          <w:tcPr>
            <w:tcW w:w="26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Adjustment for substantial completion of liquidation of foreign subsidiaries</w:t>
            </w:r>
            <w:r>
              <w:rPr>
                <w:rFonts w:ascii="Times New Roman" w:cs="Times New Roman" w:eastAsia="Times New Roman" w:hAnsi="Times New Roman"/>
                <w:sz w:val="25"/>
                <w:szCs w:val="25"/>
                <w:color w:val="auto"/>
                <w:vertAlign w:val="superscript"/>
              </w:rPr>
              <w:t>(i)</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Postretirement plans</w:t>
            </w:r>
            <w:r>
              <w:rPr>
                <w:rFonts w:ascii="Times New Roman" w:cs="Times New Roman" w:eastAsia="Times New Roman" w:hAnsi="Times New Roman"/>
                <w:sz w:val="25"/>
                <w:szCs w:val="25"/>
                <w:color w:val="auto"/>
                <w:vertAlign w:val="superscript"/>
              </w:rPr>
              <w:t>(ii)</w:t>
            </w: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44.3</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134.3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losses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300.7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427.4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020" w:type="dxa"/>
            <w:vAlign w:val="bottom"/>
            <w:tcBorders>
              <w:right w:val="single" w:sz="8" w:color="CCEEFF"/>
            </w:tcBorders>
            <w:gridSpan w:val="2"/>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$ 38.9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w:t>
            </w:r>
          </w:p>
        </w:tc>
        <w:tc>
          <w:tcPr>
            <w:tcW w:w="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116.2</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387.4</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w:t>
            </w:r>
          </w:p>
        </w:tc>
        <w:tc>
          <w:tcPr>
            <w:tcW w:w="6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Reported in other (expense), net in the consolidated statements of income (loss).</w:t>
            </w: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00" w:type="dxa"/>
            <w:vAlign w:val="bottom"/>
            <w:vMerge w:val="continue"/>
          </w:tcPr>
          <w:p>
            <w:pPr>
              <w:spacing w:after="0"/>
              <w:rPr>
                <w:sz w:val="24"/>
                <w:szCs w:val="24"/>
                <w:color w:val="auto"/>
              </w:rPr>
            </w:pPr>
          </w:p>
        </w:tc>
        <w:tc>
          <w:tcPr>
            <w:tcW w:w="63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(ii)</w:t>
            </w:r>
          </w:p>
        </w:tc>
        <w:tc>
          <w:tcPr>
            <w:tcW w:w="6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These items are included in net periodic postretirement cost (see Note 5).</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Supplemental Cash Flow Information</w:t>
      </w:r>
    </w:p>
    <w:p>
      <w:pPr>
        <w:spacing w:after="0" w:line="25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color w:val="auto"/>
        </w:rPr>
        <w:t>Nine Months Ended</w:t>
      </w:r>
    </w:p>
    <w:p>
      <w:pPr>
        <w:jc w:val="center"/>
        <w:ind w:left="6900"/>
        <w:spacing w:after="0" w:line="236" w:lineRule="auto"/>
        <w:rPr>
          <w:sz w:val="20"/>
          <w:szCs w:val="20"/>
          <w:color w:val="auto"/>
        </w:rPr>
      </w:pPr>
      <w:r>
        <w:rPr>
          <w:rFonts w:ascii="Times New Roman" w:cs="Times New Roman" w:eastAsia="Times New Roman" w:hAnsi="Times New Roman"/>
          <w:sz w:val="14"/>
          <w:szCs w:val="14"/>
          <w:color w:val="auto"/>
        </w:rPr>
        <w:t>September 30,</w:t>
      </w:r>
    </w:p>
    <w:tbl>
      <w:tblPr>
        <w:tblLayout w:type="fixed"/>
        <w:tblInd w:w="1320" w:type="dxa"/>
        <w:tblCellMar>
          <w:top w:w="0" w:type="dxa"/>
          <w:left w:w="0" w:type="dxa"/>
          <w:bottom w:w="0" w:type="dxa"/>
          <w:right w:w="0" w:type="dxa"/>
        </w:tblCellMar>
      </w:tblPr>
      <w:tr>
        <w:trPr>
          <w:trHeight w:val="142"/>
        </w:trPr>
        <w:tc>
          <w:tcPr>
            <w:tcW w:w="324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during the period for:</w:t>
            </w:r>
          </w:p>
        </w:tc>
        <w:tc>
          <w:tcPr>
            <w:tcW w:w="3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365"/>
        </w:trPr>
        <w:tc>
          <w:tcPr>
            <w:tcW w:w="3240" w:type="dxa"/>
            <w:vAlign w:val="bottom"/>
          </w:tcPr>
          <w:p>
            <w:pPr>
              <w:spacing w:after="0"/>
              <w:rPr>
                <w:sz w:val="24"/>
                <w:szCs w:val="24"/>
                <w:color w:val="auto"/>
              </w:rPr>
            </w:pPr>
          </w:p>
        </w:tc>
        <w:tc>
          <w:tcPr>
            <w:tcW w:w="372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provides a reconciliation of cash and cash equivalents and restricted cash reported within the consolidated balance sheets to the total of the amounts shown in the consolidated statements of cash flows.</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5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40" w:type="dxa"/>
            <w:vAlign w:val="bottom"/>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w:t>
            </w: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cash flows</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365.0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560.6</w:t>
            </w: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subject to contractual restrictions and are therefore not readily available are classified as restricted cash.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31"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(loss),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nine months ended September 30, 2021 was $0.3 million and $1.4 million, respectively. The sales and profit on these transactions are eliminated in consolidation.</w:t>
      </w:r>
    </w:p>
    <w:p>
      <w:pPr>
        <w:spacing w:after="0" w:line="19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summary of the company’s operations by segment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Total Segments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DWS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CA&amp;I</w:t>
            </w:r>
          </w:p>
        </w:tc>
        <w:tc>
          <w:tcPr>
            <w:tcW w:w="200" w:type="dxa"/>
            <w:vAlign w:val="bottom"/>
          </w:tcPr>
          <w:p>
            <w:pPr>
              <w:spacing w:after="0"/>
              <w:rPr>
                <w:sz w:val="14"/>
                <w:szCs w:val="14"/>
                <w:color w:val="auto"/>
              </w:rPr>
            </w:pP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ECS</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390.1</w:t>
            </w: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$130.1</w:t>
            </w:r>
          </w:p>
        </w:tc>
        <w:tc>
          <w:tcPr>
            <w:tcW w:w="9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color w:val="auto"/>
                <w:w w:val="93"/>
              </w:rPr>
              <w:t>390.1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107.3</w:t>
            </w:r>
          </w:p>
        </w:tc>
        <w:tc>
          <w:tcPr>
            <w:tcW w:w="90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$ 80.8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410.4</w:t>
            </w:r>
          </w:p>
        </w:tc>
        <w:tc>
          <w:tcPr>
            <w:tcW w:w="90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$143.2</w:t>
            </w:r>
          </w:p>
        </w:tc>
        <w:tc>
          <w:tcPr>
            <w:tcW w:w="96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410.4</w:t>
            </w:r>
          </w:p>
        </w:tc>
        <w:tc>
          <w:tcPr>
            <w:tcW w:w="90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143.2</w:t>
            </w:r>
          </w:p>
        </w:tc>
        <w:tc>
          <w:tcPr>
            <w:tcW w:w="96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color w:val="auto"/>
                <w:w w:val="93"/>
              </w:rPr>
              <w:t>123.2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$ 17.7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Total Segments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color w:val="auto"/>
              </w:rPr>
              <w:t>DWS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CA&amp;I</w:t>
            </w:r>
          </w:p>
        </w:tc>
        <w:tc>
          <w:tcPr>
            <w:tcW w:w="200" w:type="dxa"/>
            <w:vAlign w:val="bottom"/>
          </w:tcPr>
          <w:p>
            <w:pPr>
              <w:spacing w:after="0"/>
              <w:rPr>
                <w:sz w:val="24"/>
                <w:szCs w:val="24"/>
                <w:color w:val="auto"/>
              </w:rPr>
            </w:pP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ECS</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1,207.7</w:t>
            </w:r>
          </w:p>
        </w:tc>
        <w:tc>
          <w:tcPr>
            <w:tcW w:w="200" w:type="dxa"/>
            <w:vAlign w:val="bottom"/>
          </w:tcPr>
          <w:p>
            <w:pPr>
              <w:spacing w:after="0"/>
              <w:rPr>
                <w:sz w:val="18"/>
                <w:szCs w:val="18"/>
                <w:color w:val="auto"/>
              </w:rPr>
            </w:pPr>
          </w:p>
        </w:tc>
        <w:tc>
          <w:tcPr>
            <w:tcW w:w="7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$382.1</w:t>
            </w:r>
          </w:p>
        </w:tc>
        <w:tc>
          <w:tcPr>
            <w:tcW w:w="180" w:type="dxa"/>
            <w:vAlign w:val="bottom"/>
          </w:tcPr>
          <w:p>
            <w:pPr>
              <w:spacing w:after="0"/>
              <w:rPr>
                <w:sz w:val="18"/>
                <w:szCs w:val="18"/>
                <w:color w:val="auto"/>
              </w:rPr>
            </w:pPr>
          </w:p>
        </w:tc>
        <w:tc>
          <w:tcPr>
            <w:tcW w:w="7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$381.5</w:t>
            </w:r>
          </w:p>
        </w:tc>
        <w:tc>
          <w:tcPr>
            <w:tcW w:w="2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382.1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339.7</w:t>
            </w:r>
          </w:p>
        </w:tc>
        <w:tc>
          <w:tcPr>
            <w:tcW w:w="2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$ 52.2</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1,284.9</w:t>
            </w:r>
          </w:p>
        </w:tc>
        <w:tc>
          <w:tcPr>
            <w:tcW w:w="2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$434.5</w:t>
            </w:r>
          </w:p>
        </w:tc>
        <w:tc>
          <w:tcPr>
            <w:tcW w:w="180" w:type="dxa"/>
            <w:vAlign w:val="bottom"/>
            <w:shd w:val="clear" w:color="auto" w:fill="CCEEFF"/>
          </w:tcPr>
          <w:p>
            <w:pPr>
              <w:spacing w:after="0"/>
              <w:rPr>
                <w:sz w:val="18"/>
                <w:szCs w:val="18"/>
                <w:color w:val="auto"/>
              </w:rPr>
            </w:pPr>
          </w:p>
        </w:tc>
        <w:tc>
          <w:tcPr>
            <w:tcW w:w="74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$358.3</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434.5</w:t>
            </w:r>
          </w:p>
        </w:tc>
        <w:tc>
          <w:tcPr>
            <w:tcW w:w="180" w:type="dxa"/>
            <w:vAlign w:val="bottom"/>
            <w:shd w:val="clear" w:color="auto" w:fill="CCEEFF"/>
          </w:tcPr>
          <w:p>
            <w:pPr>
              <w:spacing w:after="0"/>
              <w:rPr>
                <w:sz w:val="18"/>
                <w:szCs w:val="18"/>
                <w:color w:val="auto"/>
              </w:rPr>
            </w:pPr>
          </w:p>
        </w:tc>
        <w:tc>
          <w:tcPr>
            <w:tcW w:w="74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358.3</w:t>
            </w:r>
          </w:p>
        </w:tc>
        <w:tc>
          <w:tcPr>
            <w:tcW w:w="2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$ 59.7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revenue to total consolidated revenue:</w:t>
            </w: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1"/>
          </w:tcPr>
          <w:p>
            <w:pPr>
              <w:jc w:val="right"/>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1700" w:type="dxa"/>
            <w:vAlign w:val="bottom"/>
            <w:gridSpan w:val="11"/>
          </w:tcPr>
          <w:p>
            <w:pPr>
              <w:ind w:left="22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11"/>
          </w:tcPr>
          <w:p>
            <w:pPr>
              <w:ind w:left="260"/>
              <w:spacing w:after="0"/>
              <w:rPr>
                <w:sz w:val="20"/>
                <w:szCs w:val="20"/>
                <w:color w:val="auto"/>
              </w:rPr>
            </w:pPr>
            <w:r>
              <w:rPr>
                <w:rFonts w:ascii="Times New Roman" w:cs="Times New Roman" w:eastAsia="Times New Roman" w:hAnsi="Times New Roman"/>
                <w:sz w:val="14"/>
                <w:szCs w:val="14"/>
                <w:color w:val="auto"/>
              </w:rPr>
              <w:t>September 30,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$1,207.7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$ 488.0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1,422.9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1,515.1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a reconciliation of total segment gross profit to consolidated loss before income taxes: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70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440" w:type="dxa"/>
            <w:vAlign w:val="bottom"/>
            <w:gridSpan w:val="5"/>
          </w:tcPr>
          <w:p>
            <w:pPr>
              <w:jc w:val="right"/>
              <w:ind w:right="16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4"/>
                <w:szCs w:val="14"/>
                <w:color w:val="auto"/>
              </w:rPr>
            </w:pPr>
          </w:p>
        </w:tc>
        <w:tc>
          <w:tcPr>
            <w:tcW w:w="144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gross profit</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gross profit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6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profit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3"/>
              </w:rPr>
              <w:t>126.9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339.8</w:t>
            </w:r>
          </w:p>
        </w:tc>
        <w:tc>
          <w:tcPr>
            <w:tcW w:w="8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8"/>
              </w:rPr>
              <w:t>(106.3)</w:t>
            </w:r>
          </w:p>
        </w:tc>
        <w:tc>
          <w:tcPr>
            <w:tcW w:w="100" w:type="dxa"/>
            <w:vAlign w:val="bottom"/>
          </w:tcPr>
          <w:p>
            <w:pPr>
              <w:spacing w:after="0"/>
              <w:rPr>
                <w:sz w:val="18"/>
                <w:szCs w:val="18"/>
                <w:color w:val="auto"/>
              </w:rPr>
            </w:pPr>
          </w:p>
        </w:tc>
        <w:tc>
          <w:tcPr>
            <w:tcW w:w="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(320.3)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(17.3)</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(66.2)</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earnings (loss) before income taxes</w:t>
            </w:r>
          </w:p>
        </w:tc>
        <w:tc>
          <w:tcPr>
            <w:tcW w:w="2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(352.1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82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0" w:right="899" w:bottom="1440" w:gutter="0" w:footer="0" w:header="0"/>
        </w:sectPr>
      </w:pPr>
    </w:p>
    <w:bookmarkStart w:id="25" w:name="page26"/>
    <w:bookmarkEnd w:id="25"/>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revenue and other gross profit are comprised of an aggregation of a number of immaterial business activities that principally provide for the management of processes and functions for clients in select industries, helping them improve performance and reduce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information about the company’s revenue, which is principally based on location of the selling organization, is presented below:</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September 30,</w:t>
            </w:r>
          </w:p>
        </w:tc>
        <w:tc>
          <w:tcPr>
            <w:tcW w:w="100" w:type="dxa"/>
            <w:vAlign w:val="bottom"/>
          </w:tcPr>
          <w:p>
            <w:pPr>
              <w:spacing w:after="0"/>
              <w:rPr>
                <w:sz w:val="14"/>
                <w:szCs w:val="14"/>
                <w:color w:val="auto"/>
              </w:rPr>
            </w:pPr>
          </w:p>
        </w:tc>
        <w:tc>
          <w:tcPr>
            <w:tcW w:w="15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$208.9</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$ 191.1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59.0</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2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3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597.7</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$ 488.0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1,422.9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Remaining Performance Obligations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September 30, 2022, the company had approximately $0.5 billion of remaining performance obligations of which approximately 9% is estimated to be recognized as revenue by the end of 2022, 34% by the end of 2023, 24% by the end of 2024, 13% by the end of 2025 and 20% thereafter.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440" w:top="270"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20 - Subsequent Event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quarter-end and through the date of this filing, the company has experienced a significant decline in its market capitalization, from</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$0.5 billion to $0.3 billion. Management is evaluating whether this decline represents a triggering event for assessing the goodwill and intangible asset balances for impairment in the fourth quarter of 2022. As of September 30, 2022, the balances of the company’s goodwill and intangible asset were $286.2 million and $54.8 million, respectively.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40"/>
          </w:cols>
          <w:pgMar w:left="440" w:top="266" w:right="619" w:bottom="1440" w:gutter="0" w:footer="0" w:header="0"/>
        </w:sectPr>
      </w:pPr>
    </w:p>
    <w:bookmarkStart w:id="27" w:name="page28"/>
    <w:bookmarkEnd w:id="27"/>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discussion and analysis of the company’s financial condition and results of operations should be read in conjunction with the consolidated financial statements and the related notes included elsewhere in this quarterly report. In this discussion and analysis of the company’s financial condition and results of operations, the company has included information that may constitute “forward-looking” statements, as defined in the Private Securities Litigation Reform Act of 1995. Forward-looking statements provide current expectations of future events and include any statement that does not directly relate to any historical or current fact. Words such as “anticipates,” “believes,” “expects,” “intends,” “plans,” “projects” and similar expressions may identify such forward-looking statements. All forward-looking statements rely on assumptions and are subject to risks, uncertainties and other factors that could cause the company’s actual results to differ materially from expectations. Factors that could affect future results include, but are not limited to, those discussed under “Risk Factors” in Part II, Item 1A.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reported net loss attributable to Unisys Corporation of $40.1 million, or $0.59 per diluted share, compared with a loss of $18.7 million, or $0.28 per diluted share, for the three months ended September 30, 2021.</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the company reported net loss attributable to Unisys Corporation of $114.5 million, or $1.69 per diluted share, compared with a loss of $317.3 million, or $4.79 per diluted share, for the nine months ended September 30, 2021. Included in the loss for the nine months ended September 30, 2021 were pension plan settlement losses net of tax of $317.0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launched significant military action against Ukraine. In response to this action, many governments around the world, including the U.S., imposed several financial and economic sanctions against Russia. While this conflict has not had a material impact to the company’s business, financial condition, or results of operation, the direct and indirect impacts of this evolving situation and its effect on global economies in future periods are difficult to predict.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with the three months ended September 30, 2021</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September 30, 2022 was $461.2 million compared with $488.0 million for the three months of 2021, a decrease of 5.5% from the prior year. Foreign currency fluctuations had a 6 percentage-point negative impact on revenue in the current period compared with the year-ago period.</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U.S. revenue increased 9.3% in the current period compared with the year-ago period. International revenue decreased 15.0% in the current period compared with the prior-year period principally due to decreases in Europe, Asia/Pacific and Latin America. Foreign currency had a 9 percentage-point negative impact on international revenue in the three months ended September 30, 2022 compared with the three months ended September 30, 2021.</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recognized cost-reduction charges and other costs of $8.1 million. The charges related to work-force reductions were $0.5 million for changes in estimates. In addition, the company recorded charges of $7.6 million comprised of</w:t>
      </w:r>
    </w:p>
    <w:p>
      <w:pPr>
        <w:ind w:right="200"/>
        <w:spacing w:after="0" w:line="260" w:lineRule="auto"/>
        <w:rPr>
          <w:sz w:val="20"/>
          <w:szCs w:val="20"/>
          <w:color w:val="auto"/>
        </w:rPr>
      </w:pPr>
      <w:r>
        <w:rPr>
          <w:rFonts w:ascii="Times New Roman" w:cs="Times New Roman" w:eastAsia="Times New Roman" w:hAnsi="Times New Roman"/>
          <w:sz w:val="18"/>
          <w:szCs w:val="18"/>
          <w:color w:val="auto"/>
        </w:rPr>
        <w:t>$1.9 million for net foreign currency losses related to exiting foreign countries, $4.7 million for asset impairments and $1.0 million for other expenses related to cost-reduction efforts.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recognized net cost-reduction charges and other costs of $0.8 million. The net credits related to work-force reductions were $0.6 million, principally related to severance costs, and were comprised of: (a) a charge of $0.7 million and (b) a credit of $1.3 million for changes in estimates. In addition, the company recorded net charges of $1.4 million comprised of a charge of $1.3 million for net foreign currency losses related to exiting foreign countries, a charge of $0.5 million for asset impairments and a credit of $0.4 million related to other cost reduction efforts.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charges (credits) were recorded in the following statement of income (loss) classifications:</w:t>
      </w:r>
    </w:p>
    <w:p>
      <w:pPr>
        <w:spacing w:after="0" w:line="24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00"/>
        <w:spacing w:after="0" w:line="236" w:lineRule="auto"/>
        <w:rPr>
          <w:sz w:val="20"/>
          <w:szCs w:val="20"/>
          <w:color w:val="auto"/>
        </w:rPr>
      </w:pPr>
      <w:r>
        <w:rPr>
          <w:rFonts w:ascii="Times New Roman" w:cs="Times New Roman" w:eastAsia="Times New Roman" w:hAnsi="Times New Roman"/>
          <w:sz w:val="14"/>
          <w:szCs w:val="14"/>
          <w:color w:val="auto"/>
        </w:rPr>
        <w:t>September 30,</w:t>
      </w:r>
    </w:p>
    <w:tbl>
      <w:tblPr>
        <w:tblLayout w:type="fixed"/>
        <w:tblInd w:w="132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6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22.6% in the three months ended September 30, 2022 compared with 26.0% in the three months ended September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principally due to lower software license renewals.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 the three months ended September 30, 2022 was $106.3 million (23.0% of revenue) compared with</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$95.1 million (19.5% of revenue) in the year-ago period. The change was primarily due one-time charges related to cost reduction activities and other non-recurring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 for the three months ended September 30, 2022 and 2021 was $6.0 million and $6.7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2022, the company reported an operating loss of $8.0 million compared with an operating profit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$25.1 million for prior year period. The decrease was primarily driven by lower software license renewals, one-time charges related to cost reduction activities and other non-recurring expenses.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was $7.9 million compared with $8.5 million for the three months ended September 30, 2021.</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(expense), net was expense of $23.3 million for the three months ended September 30, 2022 compared with expense of $24.2 million for the three months ended September 30, 2021. See Note 7 of the Notes to Consolidated Financial Statements for details of other (expense), net.</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loss before income taxes for the three months ended September 30, 2022 was $39.2 million compared with a loss of $7.6 million for the three months ended September 30, 2021.</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$0.7 million for the three months ended September 30, 2022 compared with a provision of $10.9 million for the three months ended September 30, 2021. The change in the tax provision is described below.</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183"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The realization of the company’s net deferred tax assets as of September 30, 2022 is primarily dependent on the ability to generate sustained taxable income in various jurisdictions. Judgment is required to estimate forecasted future taxable income, which may be impacted by future business developments, actual results, strategic operational and tax initiatives, legislative, and other economic factors and developments. Any increase or decrease in the valuation allowance would result in additional or lower income tax expense in that period and could have a significant impact on that period’s earnings. As a result of its projections of future taxable income, the company has determined that a portion of its non-U.S. net deferred tax assets no longer requires a valuation allowance as of September 30, 2022. The release of the valuation allowance for the three months ended September 30, 2022 was approximately $10.4 million, primarily in the United Kingdom and other European jurisdictions.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loss attributable to Unisys Corporation for the three months ended September 30, 2022 was $40.1 million, or $0.59 per diluted share, compared with a loss of $18.7 million, or $0.28 per diluted share, for the three months ended September 30,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with the nine months ended September 30, 2021</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2022 was $1,422.9 million compared with $1,515.1 million for the nine months ended September 30, 2021, a decrease of 6.1% from the prior year period. Foreign currency fluctuations had a 4 percentage-point negative impact on revenue in the current period compared with the year-ago period.</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U.S. revenue increased 2.6% in the current period compared with the year-ago period. International revenue decreased 12.2% in the current period compared with the prior-year period due to decreases in Europe and Asia/Pacific. Foreign currency had a 6 percentage-point negative impact on international revenue in the nine months ended September 30, 2022 compared with the nine months ended September 30, 2021.</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recognized net cost-reduction charges and other costs of $14.2 million. The credit related to work-force reductions was $0.4 million for changes in estimates. In addition, the company recorded charges of $14.6 million comprised of $4.8 million for net foreign currency losses related to exiting foreign countries, $9.4 million for asset impairments and a net charge of $0.4 million for other expenses related to cost-reduction efforts.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recognized net cost-reduction charges and other costs of $14.4 million. The net credits related to work-force reductions were $2.5 million, principally related to severance costs, and were comprised of: (a) a charge of $6.5 million and (b) a credit of $9.0 million for changes in estimates. In addition, the company recorded charges of $16.9 million comprised of $2.9 million for net foreign currency losses related to exiting foreign countries, $7.3 million for asset impairments and $6.7 million for other expenses related to cost-reduction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charges (credits) were recorded in the following statement of income (loss) classifications:</w:t>
      </w:r>
    </w:p>
    <w:p>
      <w:pPr>
        <w:spacing w:after="0" w:line="248" w:lineRule="exact"/>
        <w:rPr>
          <w:sz w:val="20"/>
          <w:szCs w:val="20"/>
          <w:color w:val="auto"/>
        </w:rPr>
      </w:pPr>
    </w:p>
    <w:p>
      <w:pPr>
        <w:jc w:val="center"/>
        <w:ind w:left="6940"/>
        <w:spacing w:after="0"/>
        <w:rPr>
          <w:sz w:val="20"/>
          <w:szCs w:val="20"/>
          <w:color w:val="auto"/>
        </w:rPr>
      </w:pPr>
      <w:r>
        <w:rPr>
          <w:rFonts w:ascii="Times New Roman" w:cs="Times New Roman" w:eastAsia="Times New Roman" w:hAnsi="Times New Roman"/>
          <w:sz w:val="14"/>
          <w:szCs w:val="14"/>
          <w:color w:val="auto"/>
        </w:rPr>
        <w:t>Nine Months Ended</w:t>
      </w:r>
    </w:p>
    <w:p>
      <w:pPr>
        <w:jc w:val="center"/>
        <w:ind w:left="6940"/>
        <w:spacing w:after="0" w:line="236" w:lineRule="auto"/>
        <w:rPr>
          <w:sz w:val="20"/>
          <w:szCs w:val="20"/>
          <w:color w:val="auto"/>
        </w:rPr>
      </w:pPr>
      <w:r>
        <w:rPr>
          <w:rFonts w:ascii="Times New Roman" w:cs="Times New Roman" w:eastAsia="Times New Roman" w:hAnsi="Times New Roman"/>
          <w:sz w:val="14"/>
          <w:szCs w:val="14"/>
          <w:color w:val="auto"/>
        </w:rPr>
        <w:t>September 30,</w:t>
      </w:r>
    </w:p>
    <w:tbl>
      <w:tblPr>
        <w:tblLayout w:type="fixed"/>
        <w:tblInd w:w="1320" w:type="dxa"/>
        <w:tblCellMar>
          <w:top w:w="0" w:type="dxa"/>
          <w:left w:w="0" w:type="dxa"/>
          <w:bottom w:w="0" w:type="dxa"/>
          <w:right w:w="0" w:type="dxa"/>
        </w:tblCellMar>
      </w:tblPr>
      <w:tr>
        <w:trPr>
          <w:trHeight w:val="142"/>
        </w:trPr>
        <w:tc>
          <w:tcPr>
            <w:tcW w:w="47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4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Gross profit margin was 23.9% in the nine months ended September 30, 2022 compared with 26.9% in the nine months ended September 30, 2021. The decrease was primarily due to lower software license renewals.</w:t>
      </w:r>
    </w:p>
    <w:p>
      <w:pPr>
        <w:spacing w:after="0" w:line="1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 the nine months ended September 30, 2022 was $320.3 million (22.5% of revenue) compared with $279.7 million (18.5% of revenue) in the year-ago period. The change was primarily due to increased investments in marketing, one-time charges related to cost reduction activities and other non-recurring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expense for the nine months ended September 30, 2022 and 2021 was $17.3 million and $19.1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the company reported an operating profit of $2.2 million compared with an operating profit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$109.5 million for the prior-year period. The decrease was primarily driven by lower software license renewals and the increased selling, general and administrative expenses discussed above.</w:t>
      </w:r>
    </w:p>
    <w:p>
      <w:pPr>
        <w:spacing w:after="0" w:line="18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was $24.6 million compared with $27.0 million for the nine months ended September 30, 2021.</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(expense), net was expense of $66.2 million for the nine months ended September 30, 2022 compared with expense of $434.6 million for the nine months ended September 30, 2021. Other (expense), net for the nine months ended September 30, 2021 included $368.7 million of pension plan settlement losses. See Note 7 of the Notes to Consolidated Financial Statements.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0" w:name="page31"/>
    <w:bookmarkEnd w:id="30"/>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loss before income taxes for the nine months ended September 30, 2022 was $88.6 million compared with a loss of $352.1 million for the nine months ended September 30, 2021. Included in the loss for the nine months ended September 30, 2021 were pension plan settlement losses of $368.7 million.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$25.1 million for the nine months ended September 30, 2022 compared with a benefit of $33.8 million for the nine months ended September 30, 2021. Included in the provision for the nine months ended September 30, 2022 was a partial release of valuation allowances of approximately $12.1 million. See Note 8 of the Notes to the Consolidated Financial Statements. The prior year period included income tax benefits of $51.7 million related to the pension plan settlement losses in the Netherlands and Switzerland.</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loss attributable to Unisys Corporation for the nine months ended September 30, 2022 was $114.5 million, or $1.69 per diluted share, compared with a loss of $317.3 million, or $4.79 per diluted share, for the nine months ended September 30, 2021. Included in the loss for the nine months ended September 30, 2021 were pension plan settlement losses net of tax of $317.0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Effective January 1, 2022, the company changed the grouping of certain immaterial revenue streams. As a result, certain prior period segment revenue as well as the related cost of sales amounts have been reclassified to be comparable to the current period’s presentation. In addition, during the second quarter of 2022, the company renamed its Cloud and Infrastructure Solutions segment as Cloud, Applications &amp; Infrastructure Solutions to better represent the nature of the segment’s operations. There was no change to the composition of the segment or its historical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131"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Workplace Solutions (DWS), which provides modern and traditional workplace solutions;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Applications &amp; Infrastructure Solutions (CA&amp;I), which provides digital platform, applications, and infrastructure solutions; and</w:t>
      </w:r>
    </w:p>
    <w:p>
      <w:pPr>
        <w:spacing w:after="0" w:line="130"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Computing Solutions (ECS), which provides solutions that harness secure, continuous high-intensity computing and enable digital services through software-defined operating environments.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accounting policies of each segment are the same as those followed by the company as a whole. Intersegment sales and transfers are priced as if the sales or transfers were to third parties. Accordingly, the ECS segment records intersegment revenue and manufacturing profit on hardware and software shipments to customers under contracts of other segments. These segments, in turn, record customer revenue and marketing profits on such shipments of company hardware and software to customers. In the company’s consolidated statements of income, the manufacturing costs of products sourced from the ECS segment and sold to other segments’ customers are reported in cost of revenue for these other segments. Also included in the ECS segment’s sales and gross profit are sales of hardware and software sold to other segments for internal use in their engagements. The amount of such profit included in gross profit of the ECS segment for the three and nine months ended September 30, 2021 was $0.3 million and $1.4 million, respectively. The sales and profit on these transactions are eliminated in consolidation.</w:t>
      </w:r>
    </w:p>
    <w:p>
      <w:pPr>
        <w:spacing w:after="0" w:line="19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evaluates segment performance based on gross profit exclusive of the service cost component of postretirement income or expense, restructuring charges, amortization of purchased intangibles and unusual and nonrecurring items, which are included in other gross profit.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Three months ended September 30, 2022 compared with the three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Segments</w:t>
            </w: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DWS</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CA&amp;I</w:t>
            </w:r>
          </w:p>
        </w:tc>
        <w:tc>
          <w:tcPr>
            <w:tcW w:w="2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ECS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390.1</w:t>
            </w: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$130.1</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$122.3</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130.1</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122.3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410.4</w:t>
            </w: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$143.2</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$115.9</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410.4</w:t>
            </w: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143.2</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115.9</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 percent</w:t>
            </w: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12.4%</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percent is as a percent of total revenue.</w:t>
      </w:r>
    </w:p>
    <w:p>
      <w:pPr>
        <w:spacing w:after="0" w:line="11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DWS revenue was $130.1 million for the three months ended September 30, 2022, a decline of 9.1% compared with the three months ended September 30, 2021. Revenue for the three months ended September 30, 2022 was negatively impacted by the run-off effect of certain non-strategic contracts that the company exited in 2021. Foreign currency fluctuations had a 5 percentage-point negative impact on DWS revenue in the current period compared with the year-ago period. Gross profit percent was 15.1% in the current period compared with 12.4% in the year-ago period. The increase in gross profit for the three months ended September 30, 2022 compared with the year-ago period reflected automation and productivity improvements.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CA&amp;I revenue was $122.3 million for the three months ended September 30, 2022, an increase of 5.5% compared with the three months ended September 30, 2021. Foreign currency fluctuations had a 2 percentage-point negative impact on CA&amp;I revenue in the current period compared with the year-ago period. Gross profit percent was 5.6% in the current period compared with 5.9% in the year-ago period.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ECS revenue was $137.7 million for the three months ended September 30, 2022, a decline of 9.0% compared with the three months ended September 30, 2021. Foreign currency fluctuations had a 6 percentage-point negative impact on ECS revenue in the current period compared with the year-ago period. Gross profit percent was 58.7% in the current period compared with 65.2% in the year-ago period. The decrease in both revenue and gross profit was principally due to lower software license renewals.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440" w:top="266"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Nine months ended September 30, 2022 compared with the nine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segment is presented below:</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Segments</w:t>
            </w: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DWS</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CA&amp;I</w:t>
            </w:r>
          </w:p>
        </w:tc>
        <w:tc>
          <w:tcPr>
            <w:tcW w:w="2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ECS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16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1,207.7</w:t>
            </w:r>
          </w:p>
        </w:tc>
        <w:tc>
          <w:tcPr>
            <w:tcW w:w="12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$382.1</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$381.5</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382.1</w:t>
            </w: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381.5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444.1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percent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revenue</w:t>
            </w:r>
          </w:p>
        </w:tc>
        <w:tc>
          <w:tcPr>
            <w:tcW w:w="16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1,284.9</w:t>
            </w: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$434.5</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$358.3</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1,286.3</w:t>
            </w:r>
          </w:p>
        </w:tc>
        <w:tc>
          <w:tcPr>
            <w:tcW w:w="12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434.5</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358.3</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 percent</w:t>
            </w: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percent is as a percent of total revenue.</w:t>
      </w:r>
    </w:p>
    <w:p>
      <w:pPr>
        <w:spacing w:after="0" w:line="11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DWS revenue was $382.1 million for the nine months ended September 30, 2022, a decline of 12.1% compared with the nine months ended September 30, 2021. Revenue for the nine months ended September 30, 2022 was negatively impacted by the run-off effect of certain non-strategic contracts that the company exited in 2021. Foreign currency fluctuations had a 3 percentage-point negative impact on DWS revenue in the current period compared with the year-ago period. Gross profit percent was 13.7% in both the nine months ended September 30, 2022 and 2021.</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CA&amp;I revenue was $381.5 million for the nine-months ended September 30, 2022, an increase of 6.5% compared with the nine months ended September 30, 2021. Foreign currency fluctuations had a 2 percentage-point negative impact on CA&amp;I revenue in the current period compared with the year-ago period. Gross profit percent was 5.5% in the current period compared with 8.4% in the year-ago period. The decrease in gross profit was primarily due to higher labor costs and additional expense recognized associated with certain contracts.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ECS revenue was $444.1 million for the nine months ended September 30, 2022, a decline of 9.8% compared with the nine months ended September 30, 2021. Foreign currency fluctuations had a 3 percentage-point negative impact on ECS revenue in the current period compared with the year-ago period. Gross profit percent was 60.0% in the current period compared with 62.7% in the year-ago period. The decrease in both revenue and gross profit was principally due to lower software license renewals.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for at least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September 30, 2022 were $351.4 million compared to $552.9 million at December 31, 2021.</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2022, $276.7 million of cash and cash equivalents were held by the company’s foreign subsidiaries and branches operating outside of the U.S. The company may not be able to readily transfer up to one-third of these funds out of the country in which they are located as a result of local restrictions, contractual or other legal arrangements or commercial considerations. Additionally, any transfers of these funds to the U.S. in the future may require the company to accrue or pay withholding or other taxes on a portion of the amount transferred.</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cash used for operations was $22.2 million compared to cash provided $64.5 million during the nine months ended September 30, 2021, primarily driven by the change in accounts receivable.</w:t>
      </w:r>
    </w:p>
    <w:p>
      <w:pPr>
        <w:spacing w:after="0" w:line="162"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7"/>
          <w:szCs w:val="17"/>
          <w:color w:val="auto"/>
        </w:rPr>
        <w:t>Cash used for investing activities during the nine months ended September 30, 2022 was $124.4 million compared to cash usage of $236.0 million during the nine months ended September 30, 2021. Cash usage during the nine months ended September 30, 2021 included $150.4 million for acquisitions. Net purchases of investments were $58.4 million for the nine months ended September 30, 2022 compared with net purchases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million in the prior-year period. Proceeds from investments and purchases of investments represent derivative financial instruments used to reduce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currency exposure to market risks from changes in foreign currency exchange rates. In the current period, the investment in marketable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was $35.2 million compared with $42.1 million in the year-ago period, capital additions of properties were $21.5 million compared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 million in the year-ago period and capital additions of outsourcing assets were $8.1 million compared with $14.7 million in the year-ago period.</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used for financing activities during the nine months ended September 30, 2022 was $18.4 million compared to cash used of $100.8 million during the nine months ended September 30, 2021. The decrease in cash used was principally due to redemptions of debt in the prior year period.</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2022, the company expects to make cash contributions of approximately $38.5 million primarily for its international defined benefit pension plans. In 2021, the company made cash contributions of $52.4 million to its worldwide defined benefit pension plans. For the nine months ended September 30, 2022 and 2021, the company made cash contributions of $30.9 million and $40.3 million, respectively.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each year, the company estimates its future cash contributions to its U.S. qualified defined benefit pension plans based on year-end pension data and assumptions. Any material deterioration in the value of the company’s U.S. qualified defined benefit pension plan assets, as well as changes in pension legislation, discount rate changes, asset return changes, or changes in economic or demographic trends, could require the company to make cash contributions to its U.S. qualified defined benefit pension plans. Based upon current estimates, the company does not expect to make mandatory cash contributions to its U.S. qualified defined benefit pension plans until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total debt was $515.9 million compared to $529.4 million at December 31, 2021.</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March 2021, the company completed the conversion of $84.2 million aggregate principal amount of the 2021 Notes that remained outstanding for a combination of cash and shares of the company’s common stock. As a result of the conversion of the outstanding 2021 Notes, the company delivered to the holders (i) aggregate cash payments totaling approximately $86.5 million, which included an aggregate cash payment for outstanding principal of approximately $84.2 million, an aggregate cash payment for accrued interest of approximately $2.3 million and a nominal cash payment in lieu of fractional shares, and (ii) the issuance of 4,537,123 shares of the company’s common stock. The issuance of the common stock was made in exchange for the 2021 Notes pursuant to an exemption from the registration requirements provided by Section 3(a)(9) of the Securities Act of 1933, as amended.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4" w:name="page35"/>
    <w:bookmarkEnd w:id="3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a secured revolving credit facility (the Amended and Restated ABL Credit Facility) that expires on October 29, 2025 that provides for revolving loans and letters of credit up to an aggregate amount of $145.0 million (with a limit on letters of credit of $40.0 million), with an accordion feature provision allowing for the aggregate amount available under the credit facility to be increased up to $175.0 million upon the satisfaction of certain conditions specified in the Amended and Restated ABL Credit Facility. Availability under the credit facility is subject to a borrowing base calculated by reference to the company’s receivables. At September 30, 2022, the company had no borrowings and $6.3 million of letters of credit outstanding, and availability under the facility was $66.3 million net of letters of credit issued.</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Amended and Restated ABL Credit Facility is guaranteed by Unisys Holding Corporation, Unisys NPL, Inc., Unisys AP Investment Company I, CompuGain LLC and CompuGain Public Services, LLC, each of which is a U.S. corporation or limited liability company that is directly or indirectly owned by the company (the subsidiary guarantors). The facility is secured by the assets of the company and the subsidiary guarantors, other than certain excluded assets, under a security agreement entered into by the company and the subsidiary guarantors in favor of JPMorgan Chase Bank, N.A., as agent for the lenders under the credit facility.</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is required to maintain a minimum fixed charge coverage ratio if the availability under the Amended and Restated ABL Credit Facility falls below the greater of 10% of the lenders’ commitments under the facility and $14.5 million.</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September 30, 2022, the company has met all covenants and conditions under its various lending and funding agreements. For at least the next 12 months, the company expects to continue to meet these covenants and conditions following the filing of the company’s quarterly report on Form 10-Q for the period ended September 30, 2022, which the company expects to file within the next several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explore a variety of institutional debt and equity sources to fund its liquidity and capital needs.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redeem, tender for, or repurchase its securities in the open market or in privately negotiated transactions depending upon availability, market conditions and other factors.</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disclosure in its 2021 Form 10-K.</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 - OTHER INFORMATION</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Information with respect to litigation is set forth in Note 15 of the Notes to Consolidated Financial Statements, and such information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“Risk Factors” in Part I, Item 1A of the company’s 2021 Form 10-K filed with the SEC on February 22, 2022, except for the following:</w:t>
      </w:r>
    </w:p>
    <w:p>
      <w:pPr>
        <w:spacing w:after="0" w:line="26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We have identified material weaknesses in our disclosure controls and procedures and internal control over financial reporting. Failure to remediate the material weaknesses or any other material weaknesses that we identify in the future could result in material misstatements in our financial statements.</w:t>
      </w:r>
    </w:p>
    <w:p>
      <w:pPr>
        <w:spacing w:after="0" w:line="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an investigation by the company’s Audit &amp; Finance Committee (Audit Committee) into the company’s internal control environment, the company has reevaluated the effectiveness of the company’s disclosure controls and procedures and internal control over financial reporting and identified material weaknesses in the company’s disclosure controls and procedures and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Our management may be unable to conclude in future periods that our disclosure controls and procedures are effective due to the effects of various factors, which may, in part, include unremediated material weaknesses in internal control over financial reporting.</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has received, and may receive in the future, regulatory, investigative and enforcement inquiries, subpoenas or demands arising from, related to, or in connection with these matters. Professional costs resulting from the investigation that resulted in the identification of the material weaknesses have been significant and are expected to continue to be significant, in particular if litigation costs relating to these regulatory, investigative and enforcement inquiries, subpoenas and demands grow. Although we believe that no significant business has been lost to date, it is possible that a change in the perceptions of our business partners could occur as a result of the investigation and the material weaknesses. In addition, as a result of the investigation and remediation efforts, certain operational changes have occurred and may continue to occur in the future. Any or all of these impacts based on the findings of the investigation and related matters and the surrounding circumstances could exacerbate the other risks described herein and directly or indirectly have a material adverse effect on our operations and/or financial performance.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incidents could result in the company incurring significant costs and could harm the company’s business and reputation.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company’s business includes managing, processing, storing and transmitting proprietary and confidential data, including personal information, intellectual property and proprietary business information, within the company’s own IT systems and those that the company designs, develops, hosts or manages for clients. These systems are critical to the company’s business activities, and shutdowns or disruptions of, and cybersecurity attacks on, these systems pose increasing risks. Cybersecurity incidents and network security incidents may include, but are not limited to, attempts to access or unauthorized access of information, exploitation of vulnerabilities (including those of third-party software or systems), computer viruses, ransomware, denial of service and other electronic security incidents. Attacks also include social engineering and cyber extortion to induce customers, contractors, business partners, vendors, employees and other third parties to disclose information, transfer funds, or unwittingly provide access to systems or data. Cyberattacks from computer hackers and cyber criminals and other malicious internet-based activity continue to increase generally, and the company’s services and systems, including the systems of the company’s outsourced service providers, have been and may in the future continue to be the target of various forms of cybersecurity incidents such as DNS attacks, wireless network attacks, viruses and worms, malicious software, ransomware, cyber extortion, misconfigurations, supply chain attacks, application centric attacks, peer-to-peer attacks, phishing attempts, backdoor trojans and distributed denial of service attacks.</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techniques used by computer hackers and cyber criminals to obtain unauthorized access to data or to sabotage computer systems change frequently and are growing in sophistication, and these new techniques generally are not detected until after an incident has occurred. Cybersecurity incidents involving the company’s systems, despite established security controls, could result in disruption of the company’s services, misappropriation, misuse, alteration, theft, loss, corruption, leakage, falsification, and accidental or premature release or improper disclosure or misuse of confidential or other information, including intellectual property and personal information (of the company, third parties, employees, clients or others). The company could be exposed to liability, litigation, and regulatory or other government action, as well as the loss of existing or potential customers, damage to the company’s brand and reputation, damage to the company’s competitive position, and other financial loss, any of which could have a material adverse effect on the company’s business, financial condition and results of operations. In addition, the cost and operational consequences of responding to cybersecurity incidents and implementing remediation measures could be significant. In the company’s industry, security vulnerabilities are increasingly discovered, publicized and exploited across a broad range of hardware, software or other infrastructure, elevating the risk of attacks and the potential cost of response and remediation for the company.</w:t>
      </w:r>
    </w:p>
    <w:p>
      <w:pPr>
        <w:sectPr>
          <w:pgSz w:w="11900" w:h="16838" w:orient="portrait"/>
          <w:cols w:equalWidth="0" w:num="1">
            <w:col w:w="11000"/>
          </w:cols>
          <w:pgMar w:left="440" w:top="266" w:right="459" w:bottom="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Although the company continuously takes significant steps to mitigate cybersecurity risk across a range of functions, such measures can never eliminate the risk entirely or provide absolute security, and the company has experienced and expects to continue to experience cyberattacks on its information systems. While there have not been cybersecurity incidents or vulnerabilities that have had a material adverse effect on the company, there is no assurance that there will not be cybersecurity incidents or vulnerabilities that will have a material adverse effect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significant underfunded pension obligations.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has significant underfunded obligations under its U.S. and non-U.S. defined benefit pension plans. In 2021, the company made cash contributions of $52.4 million, primarily for its international defined benefit pension plans. Based on current legislation, global regulations, recent interest rates and expected returns, in 2022 the company expects to make cash contributions of approximately $38.5 million, primarily for its international defined benefit pension plans. Estimates for future cash contributions are likely to change based on a number of factors including market conditions and changes in discount rates. The company may need to obtain additional funding in order to make future contributions. In this event, there is no assurance that the company would be able to obtain such funding or that the company will have enough cash on hand to pay the required cash contributions. Deterioration in the value of the company’s worldwide defined benefit pension plan assets, as well as discount rate changes, asset return changes, or changes in economic or demographic trends, could require the company to make cash contributions to its defined benefit pension plans in the future in an amount larger than currently anticipated. Increased cash contribution requirements or an acceleration in the due date of such cash contributions would further reduce the cash available for working capital, capital expenditures and other corporate uses and may worsen the adverse impact on the company’s operations, financial condition and liquidity.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PURSUANT TO THE U.S. PRIVATE SECURITIES LITIGATION REFORM ACT OF 1995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that could cause the company’s future results to differ materially from those expressed in “forward-looking” statements include: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Business Strategy in Information Technology Market</w:t>
      </w:r>
    </w:p>
    <w:p>
      <w:pPr>
        <w:spacing w:after="0" w:line="135" w:lineRule="exact"/>
        <w:rPr>
          <w:sz w:val="20"/>
          <w:szCs w:val="20"/>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personnel in key positions;</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revenue and expand margin in our Digital Workplace Solutions and Cloud, Applications &amp; Infrastructure Solutions businesses;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installed base and sell new solutions and related services;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121" w:right="499" w:bottom="1440" w:gutter="0" w:footer="0" w:header="0"/>
        </w:sectPr>
      </w:pPr>
    </w:p>
    <w:bookmarkStart w:id="37" w:name="page38"/>
    <w:bookmarkEnd w:id="37"/>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business and financial risk in implementing acquisitions or dispositions;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aggressive competition in the information services and technology market;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respond to rapid technological innovation in our industry;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significant clients and attract new clients;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may not be as profitable as expected or provide the expected level of revenues;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or acquire the capabilities to enhance the company’s solutions;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135"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underfunded pension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Business Risks</w:t>
      </w:r>
    </w:p>
    <w:p>
      <w:pPr>
        <w:spacing w:after="0" w:line="135"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Audit &amp; Finance Committee’s investigation;</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management’s conclusion, in consultation with the Audit &amp; Finance Committee, that material weaknesses existed in our disclosure controls and procedures and internal control over financial reporting;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evaluation and implementation of remediation efforts designed and implemented to enhance our control environment;</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identification of one or more additional material weaknesses in our internal control over financial reporting of which we are not currently aware or that have not been detected;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growth, reputation, projections, financial condition, operations, cash flows and liquidity;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capabilities of third parties with whom we have commercial relationships;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could result in incurring significant costs and could harm our business and reputation;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meet standards or expectations with respect to the company’s environmental, social and governance practices;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when a significant portion of our revenue is derived from international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financing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effects of global economic conditions, acts of war, terrorism, natural disasters or the widespread outbreak of infectious diseases;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disruption in our IT systems could adversely affect our business and reputation;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damage to our reputation or legal liability if our clients are not satisfied with our services or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intellectual property infringement claims to be asserted against us or our clients;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legal proceedings could affect our results of operations or cash flow or may adversely affect our business or reputation; 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Assets</w:t>
      </w:r>
    </w:p>
    <w:p>
      <w:pPr>
        <w:spacing w:after="0" w:line="135"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discussed in this report, although not listed here, also could materially affect our future results.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70" w:right="5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UNISYS RECEIVES NOTICE OF LATE FILING FROM THE NYSE</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BLUE BELL, Pa., November 21, 2022 </w:t>
      </w:r>
      <w:r>
        <w:rPr>
          <w:rFonts w:ascii="Times New Roman" w:cs="Times New Roman" w:eastAsia="Times New Roman" w:hAnsi="Times New Roman"/>
          <w:sz w:val="18"/>
          <w:szCs w:val="18"/>
          <w:color w:val="auto"/>
        </w:rPr>
        <w:t>– Unisys Corporation (NYSE: UIS) (“Unisys” or the “Company”) received a notice from the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(the “NYSE”) on November 15, 2022 indicating that, because the Company did not timely file its Quarterly Report on Form 10-Q for the period ended September 30, 2022 (the “Quarterly Report”), the Company is not in compliance with Section 802.01E of the NYSE Listed Company Manual, which requires that NYSE-listed companies timely file all periodic reports with the Securities and Exchange Commission (the “SEC”).</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previously reported by the Company in its Notification of Late Filing on Form 12b-25, filed with the SEC on November 7, 2022, the Company was unable to file the Quarterly Report for the period ended September 30, 2022 within the prescribed period due to an internal investigation regarding certain disclosure controls and procedures matters, including the dissemination and communication of information within certain aspects of the organization. Notwithstanding the foregoing, the Company does not expect the investigation to result in any changes to the financial results in the Company’s previously reported financial statements or to impact the financial results in the Company’s unaudited financial statements for the period as of and ended September 30, 2022.</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NYSE notice has no immediate effect on the listing of the Company’s common stock on the NYSE. The NYSE notice informed the Company that, under NYSE rules, the Company has six months, until May 14, 2023, to file the Quarterly Report and regain compliance with the NYSE listing standards. If the Company fails to file the Quarterly Report by the six-month deadline, the NYSE may, in its sole discretion, grant an extension of up to six additional months for the Company to regain compliance, depending on the specific circumstances.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expects to file the Quarterly Report with the SEC within the next several days and, in any event, before the six-month deadline stipulated by the NYSE.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Unisys</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Unisys is a technology solutions company that delivers successful outcomes for the most demanding organizations around the world. Unisys offerings include digital workplace solutions, cloud, applications and infrastructure solutions, enterprise computing solutions and business process solutions. For more information on how Unisys delivers for its clients across the commercial, financial services and government sectors, visit unisys.com.</w:t>
      </w:r>
    </w:p>
    <w:p>
      <w:pPr>
        <w:sectPr>
          <w:pgSz w:w="11900" w:h="16838" w:orient="portrait"/>
          <w:cols w:equalWidth="0" w:num="1">
            <w:col w:w="11020"/>
          </w:cols>
          <w:pgMar w:left="440" w:top="117"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statements contained in this release that are not historical facts are forward-looking statements as defined in the Private Securities Litigation Reform Act of 1995. Forward-looking statements generally are accompanied by words such as “may,” “will,” “anticipate,” “intend,” “expect” and similar expressions that predict or indicate future events or trends or that are not statements of historical matters.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You should not place undue reliance on forward-looking statements because they involve known and unknown risks, uncertainties and other factors, which are, in some cases, beyond the Company’s control and which could materially affect results. Factors that may cause actual results to differ materially from current expectations include, among other things, the impact of the Audit &amp; Finance Committee’s investigation; the impact of management’s conclusion, in consultation with the Audit &amp; Finance Committee, that material weaknesses existed in the Company’s disclosure controls and procedures and internal control over financial reporting; the evaluation and implementation of remediation efforts designed and implemented to enhance the Company’s control environment; the potential identification of one or more additional material weaknesses in the Company’s internal control over financial reporting of which the Company is not currently aware or that have not been detected; and those described more fully in the Company’s periodic filings with the SEC. Forward-looking statements contained in this report are made as of this date, and the Company undertakes no duty to update such information except as required under applicable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Investors: investor@unisys.com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Media: Kaleigh Ferguson, Unisys, 203-907-5117</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kaleigh.ferguson@unisys.com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NO.: 1121/9891</w:t>
      </w:r>
    </w:p>
    <w:p>
      <w:pPr>
        <w:spacing w:after="0" w:line="22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Unisys and other Unisys products and services mentioned herein, as well as their respective logos, are trademarks or registered trademarks of Unisys Corporation. Any other brand or product referenced herein is acknowledged to be a trademark or registered trademark of its respective 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UIS-Q</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lowerRoman"/>
      <w:start w:val="6"/>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2022-11-21T17:13:05Z</dcterms:created>
  <dcterms:modified xsi:type="dcterms:W3CDTF">2022-11-21T17:13:05Z</dcterms:modified>
</cp:coreProperties>
</file>