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140" w:type="dxa"/>
        <w:jc w:val="center"/>
        <w:tblInd w:w="0" w:type="dxa"/>
        <w:tblLayout w:type="fixed"/>
        <w:tblCellMar>
          <w:top w:w="28" w:type="dxa"/>
          <w:left w:w="28" w:type="dxa"/>
          <w:bottom w:w="28" w:type="dxa"/>
          <w:right w:w="28" w:type="dxa"/>
        </w:tblCellMar>
      </w:tblPr>
      <w:tblGrid>
        <w:gridCol w:w="1326"/>
        <w:gridCol w:w="1165"/>
        <w:gridCol w:w="1649"/>
      </w:tblGrid>
      <w:tr>
        <w:trPr/>
        <w:tc>
          <w:tcPr>
            <w:tcW w:w="132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April 30,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UNISYS CORPORATION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5848" w:type="dxa"/>
        <w:jc w:val="center"/>
        <w:tblInd w:w="0" w:type="dxa"/>
        <w:tblLayout w:type="fixed"/>
        <w:tblCellMar>
          <w:top w:w="28" w:type="dxa"/>
          <w:left w:w="28" w:type="dxa"/>
          <w:bottom w:w="28" w:type="dxa"/>
          <w:right w:w="28" w:type="dxa"/>
        </w:tblCellMar>
      </w:tblPr>
      <w:tblGrid>
        <w:gridCol w:w="819"/>
        <w:gridCol w:w="718"/>
        <w:gridCol w:w="728"/>
        <w:gridCol w:w="697"/>
        <w:gridCol w:w="697"/>
        <w:gridCol w:w="705"/>
        <w:gridCol w:w="433"/>
        <w:gridCol w:w="433"/>
        <w:gridCol w:w="618"/>
      </w:tblGrid>
      <w:tr>
        <w:trP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2099"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1-8729</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38-0387840</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incorporation)</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801 Lakeview Drive, Suite 100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Blue Bell, Pennsylvania 19422</w:t>
      </w:r>
    </w:p>
    <w:tbl>
      <w:tblPr>
        <w:tblW w:w="3795" w:type="dxa"/>
        <w:jc w:val="center"/>
        <w:tblInd w:w="0" w:type="dxa"/>
        <w:tblLayout w:type="fixed"/>
        <w:tblCellMar>
          <w:top w:w="28" w:type="dxa"/>
          <w:left w:w="28" w:type="dxa"/>
          <w:bottom w:w="28" w:type="dxa"/>
          <w:right w:w="28" w:type="dxa"/>
        </w:tblCellMar>
      </w:tblPr>
      <w:tblGrid>
        <w:gridCol w:w="1214"/>
        <w:gridCol w:w="1065"/>
        <w:gridCol w:w="1516"/>
      </w:tblGrid>
      <w:tr>
        <w:trPr/>
        <w:tc>
          <w:tcPr>
            <w:tcW w:w="121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tc>
      </w:tr>
    </w:tbl>
    <w:tbl>
      <w:tblPr>
        <w:tblW w:w="4004" w:type="dxa"/>
        <w:jc w:val="center"/>
        <w:tblInd w:w="0" w:type="dxa"/>
        <w:tblLayout w:type="fixed"/>
        <w:tblCellMar>
          <w:top w:w="28" w:type="dxa"/>
          <w:left w:w="28" w:type="dxa"/>
          <w:bottom w:w="28" w:type="dxa"/>
          <w:right w:w="28" w:type="dxa"/>
        </w:tblCellMar>
      </w:tblPr>
      <w:tblGrid>
        <w:gridCol w:w="1282"/>
        <w:gridCol w:w="1126"/>
        <w:gridCol w:w="1596"/>
      </w:tblGrid>
      <w:tr>
        <w:trPr/>
        <w:tc>
          <w:tcPr>
            <w:tcW w:w="128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(215) 986-4011</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r>
    </w:tbl>
    <w:tbl>
      <w:tblPr>
        <w:tblW w:w="4665" w:type="dxa"/>
        <w:jc w:val="center"/>
        <w:tblInd w:w="0" w:type="dxa"/>
        <w:tblLayout w:type="fixed"/>
        <w:tblCellMar>
          <w:top w:w="28" w:type="dxa"/>
          <w:left w:w="28" w:type="dxa"/>
          <w:bottom w:w="28" w:type="dxa"/>
          <w:right w:w="28" w:type="dxa"/>
        </w:tblCellMar>
      </w:tblPr>
      <w:tblGrid>
        <w:gridCol w:w="1493"/>
        <w:gridCol w:w="1308"/>
        <w:gridCol w:w="1864"/>
      </w:tblGrid>
      <w:tr>
        <w:trPr/>
        <w:tc>
          <w:tcPr>
            <w:tcW w:w="1493"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9"/>
        </w:rPr>
      </w:pPr>
      <w:r>
        <w:rPr>
          <w:rFonts w:ascii="Times New Roman;serif" w:hAnsi="Times New Roman;serif"/>
          <w:b w:val="false"/>
          <w:color w:val="000000"/>
          <w:sz w:val="19"/>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Securities registered pursuant to Section 12(b) of the Act:</w:t>
      </w:r>
    </w:p>
    <w:tbl>
      <w:tblPr>
        <w:tblW w:w="8138" w:type="dxa"/>
        <w:jc w:val="left"/>
        <w:tblInd w:w="0" w:type="dxa"/>
        <w:tblLayout w:type="fixed"/>
        <w:tblCellMar>
          <w:top w:w="28" w:type="dxa"/>
          <w:left w:w="28" w:type="dxa"/>
          <w:bottom w:w="28" w:type="dxa"/>
          <w:right w:w="28" w:type="dxa"/>
        </w:tblCellMar>
      </w:tblPr>
      <w:tblGrid>
        <w:gridCol w:w="981"/>
        <w:gridCol w:w="862"/>
        <w:gridCol w:w="872"/>
        <w:gridCol w:w="109"/>
        <w:gridCol w:w="109"/>
        <w:gridCol w:w="109"/>
        <w:gridCol w:w="314"/>
        <w:gridCol w:w="314"/>
        <w:gridCol w:w="316"/>
        <w:gridCol w:w="109"/>
        <w:gridCol w:w="109"/>
        <w:gridCol w:w="109"/>
        <w:gridCol w:w="1118"/>
        <w:gridCol w:w="1118"/>
        <w:gridCol w:w="1589"/>
      </w:tblGrid>
      <w:tr>
        <w:trPr/>
        <w:tc>
          <w:tcPr>
            <w:tcW w:w="98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Indicate by check mark whether the registrant is an emerging growth company as defined in Rule 405 of the Securities Act of 1933 (§230.405 of this chapter) or Rule 12b-2 of the Securities Exchange Act of 1934 (§240.12b-2).</w:t>
      </w:r>
    </w:p>
    <w:tbl>
      <w:tblPr>
        <w:tblW w:w="2595" w:type="dxa"/>
        <w:jc w:val="left"/>
        <w:tblInd w:w="0" w:type="dxa"/>
        <w:tblLayout w:type="fixed"/>
        <w:tblCellMar>
          <w:top w:w="28" w:type="dxa"/>
          <w:left w:w="28" w:type="dxa"/>
          <w:bottom w:w="28" w:type="dxa"/>
          <w:right w:w="28" w:type="dxa"/>
        </w:tblCellMar>
      </w:tblPr>
      <w:tblGrid>
        <w:gridCol w:w="829"/>
        <w:gridCol w:w="729"/>
        <w:gridCol w:w="103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Emerging growth company ☐</w:t>
            </w:r>
          </w:p>
        </w:tc>
      </w:tr>
    </w:tbl>
    <w:p>
      <w:pPr>
        <w:pStyle w:val="TextBody"/>
        <w:bidi w:val="0"/>
        <w:spacing w:lineRule="auto" w:line="288" w:before="0" w:after="0"/>
        <w:jc w:val="left"/>
        <w:rPr/>
      </w:pPr>
      <w:r>
        <w:rPr>
          <w:rFonts w:ascii="Times New Roman;serif" w:hAnsi="Times New Roman;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April 30, 2026, Unisys Corporation (the "Company") held its Annual Meeting of Stockholders (the "Annual Meeting"). As of the close of business on March 2, 2026, the record date for the Annual Meeting, 72,326,365 shares of the Company’s common stock, par value $0.01 per share ("Common Stock"), were outstanding and entitled to vote at the Annual Meeting. At the Annual Meeting, a total of 63,856,851 shares of the Company Common Stock were voted in person or by proxy, representing 88.28% of the shares entitled to be voted. The following are the final voting results on proposals considered and voted upon by stockholders of the Company at the Annual Meeting, all of which are described in the Company’s definitive proxy statement filed with the SEC on March 16, 2026.</w:t>
      </w:r>
    </w:p>
    <w:p>
      <w:pPr>
        <w:pStyle w:val="TextBody"/>
        <w:bidi w:val="0"/>
        <w:spacing w:lineRule="auto" w:line="288" w:before="120" w:after="283"/>
        <w:ind w:left="0" w:right="0" w:hanging="540"/>
        <w:jc w:val="left"/>
        <w:rPr/>
      </w:pPr>
      <w:r>
        <w:rPr>
          <w:rFonts w:ascii="Times New Roman;serif" w:hAnsi="Times New Roman;serif"/>
          <w:b w:val="false"/>
          <w:color w:val="000000"/>
          <w:sz w:val="20"/>
        </w:rPr>
        <w:t>1.</w:t>
      </w:r>
      <w:r>
        <w:rPr>
          <w:rFonts w:ascii="Times New Roman;serif" w:hAnsi="Times New Roman;serif"/>
          <w:b/>
          <w:color w:val="000000"/>
          <w:sz w:val="20"/>
        </w:rPr>
        <w:t xml:space="preserve">Election of Directors. </w:t>
      </w:r>
      <w:r>
        <w:rPr>
          <w:rFonts w:ascii="Times New Roman;serif" w:hAnsi="Times New Roman;serif"/>
          <w:b w:val="false"/>
          <w:color w:val="000000"/>
          <w:sz w:val="20"/>
        </w:rPr>
        <w:t xml:space="preserve">The 10 director nominees, whose names are set forth below, were elected as directors, constituting the entire Board of Directors (the "Board") of the Company, to serve until the Company’s 2027 annual meeting of stockholders or until their respective successors are duly elected and qualified. Relevant voting information for each person was as follows: </w:t>
      </w:r>
    </w:p>
    <w:tbl>
      <w:tblPr>
        <w:tblW w:w="6930" w:type="dxa"/>
        <w:jc w:val="left"/>
        <w:tblInd w:w="0" w:type="dxa"/>
        <w:tblLayout w:type="fixed"/>
        <w:tblCellMar>
          <w:top w:w="28" w:type="dxa"/>
          <w:left w:w="28" w:type="dxa"/>
          <w:bottom w:w="28" w:type="dxa"/>
          <w:right w:w="28" w:type="dxa"/>
        </w:tblCellMar>
      </w:tblPr>
      <w:tblGrid>
        <w:gridCol w:w="677"/>
        <w:gridCol w:w="595"/>
        <w:gridCol w:w="602"/>
        <w:gridCol w:w="344"/>
        <w:gridCol w:w="344"/>
        <w:gridCol w:w="348"/>
        <w:gridCol w:w="419"/>
        <w:gridCol w:w="419"/>
        <w:gridCol w:w="421"/>
        <w:gridCol w:w="360"/>
        <w:gridCol w:w="360"/>
        <w:gridCol w:w="361"/>
        <w:gridCol w:w="492"/>
        <w:gridCol w:w="492"/>
        <w:gridCol w:w="696"/>
      </w:tblGrid>
      <w:tr>
        <w:trPr/>
        <w:tc>
          <w:tcPr>
            <w:tcW w:w="6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Name</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Votes For</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Votes Against</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Abstentions</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Broker Non-Votes</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Nathaniel A. Davis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52,903,762</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1,893,291</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350,664</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8,709,134</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Desch</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34,211,928</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20,582,467</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353,322</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8,709,134</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Philippe Germond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52,173,851</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2,666,686</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307,180</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8,709,134</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Deborah Lee James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53,300,224</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1,542,071</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305,422</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8,709,134</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A. Kritzmacher</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52,875,490</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1,922,263</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349,964</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8,709,134</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E. Martin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52,529,349</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2,289,650</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328,718</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8,709,134</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Regina M. Paolillo</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53,138,920</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1,676,145</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332,652</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8,709,134</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Troy K. Richardson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52,605,489</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2,227,411</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314,817</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8,709,134</w:t>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Roxanne Taylor</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52,851,042</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1,993,117</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303,558</w:t>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8,709,134</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 Thomson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53,068,093</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1,798,749</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280,875</w:t>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8,709,134</w:t>
            </w:r>
          </w:p>
        </w:tc>
      </w:tr>
    </w:tbl>
    <w:p>
      <w:pPr>
        <w:pStyle w:val="TextBody"/>
        <w:bidi w:val="0"/>
        <w:spacing w:lineRule="auto" w:line="288" w:before="120" w:after="283"/>
        <w:ind w:left="0" w:right="0" w:hanging="540"/>
        <w:jc w:val="left"/>
        <w:rPr/>
      </w:pPr>
      <w:r>
        <w:rPr>
          <w:rFonts w:ascii="Times New Roman;serif" w:hAnsi="Times New Roman;serif"/>
          <w:b w:val="false"/>
          <w:color w:val="000000"/>
          <w:sz w:val="20"/>
        </w:rPr>
        <w:t>2.</w:t>
      </w:r>
      <w:r>
        <w:rPr>
          <w:rFonts w:ascii="Times New Roman;serif" w:hAnsi="Times New Roman;serif"/>
          <w:b/>
          <w:color w:val="000000"/>
          <w:sz w:val="20"/>
        </w:rPr>
        <w:t xml:space="preserve">Advisory Vote on 2025 Named Executive Officer Compensation. </w:t>
      </w:r>
      <w:r>
        <w:rPr>
          <w:rFonts w:ascii="Times New Roman;serif" w:hAnsi="Times New Roman;serif"/>
          <w:b w:val="false"/>
          <w:color w:val="000000"/>
          <w:sz w:val="20"/>
        </w:rPr>
        <w:t>The proposal for approval, on a non-binding advisory basis, of the compensation of the Company’s named executive officers was approved by the following vote: 45,098,697 shares for the proposal, 9,640,191 shares against the proposal, 408,829 shares abstaining and 8,709,134 broker non-votes.</w:t>
      </w:r>
    </w:p>
    <w:p>
      <w:pPr>
        <w:pStyle w:val="TextBody"/>
        <w:bidi w:val="0"/>
        <w:spacing w:lineRule="auto" w:line="288" w:before="120" w:after="283"/>
        <w:ind w:left="0" w:right="0" w:hanging="540"/>
        <w:jc w:val="left"/>
        <w:rPr/>
      </w:pPr>
      <w:r>
        <w:rPr>
          <w:rFonts w:ascii="Times New Roman;serif" w:hAnsi="Times New Roman;serif"/>
          <w:b w:val="false"/>
          <w:color w:val="000000"/>
          <w:sz w:val="20"/>
        </w:rPr>
        <w:t>3.</w:t>
      </w:r>
      <w:r>
        <w:rPr>
          <w:rFonts w:ascii="Times New Roman;serif" w:hAnsi="Times New Roman;serif"/>
          <w:b/>
          <w:color w:val="000000"/>
          <w:sz w:val="20"/>
        </w:rPr>
        <w:t xml:space="preserve">Ratification of Appointment of the Independent Registered Public Accounting Firm. </w:t>
      </w:r>
      <w:r>
        <w:rPr>
          <w:rFonts w:ascii="Times New Roman;serif" w:hAnsi="Times New Roman;serif"/>
          <w:b w:val="false"/>
          <w:color w:val="000000"/>
          <w:sz w:val="20"/>
        </w:rPr>
        <w:t>The ratification of the appointment of Grant Thornton LLP as the Company’s independent registered public accounting firm for the 2026 fiscal year was ratified by the following vote: 62,104,832 shares for the proposal, 1,087,886 shares against the proposal and 664,133 abstentions.</w:t>
      </w:r>
    </w:p>
    <w:p>
      <w:pPr>
        <w:pStyle w:val="TextBody"/>
        <w:bidi w:val="0"/>
        <w:spacing w:lineRule="auto" w:line="288" w:before="120" w:after="283"/>
        <w:ind w:left="0" w:right="0" w:hanging="540"/>
        <w:jc w:val="left"/>
        <w:rPr/>
      </w:pPr>
      <w:r>
        <w:rPr>
          <w:rFonts w:ascii="Times New Roman;serif" w:hAnsi="Times New Roman;serif"/>
          <w:b w:val="false"/>
          <w:color w:val="000000"/>
          <w:sz w:val="20"/>
        </w:rPr>
        <w:t>4.</w:t>
      </w:r>
      <w:r>
        <w:rPr>
          <w:rFonts w:ascii="Times New Roman;serif" w:hAnsi="Times New Roman;serif"/>
          <w:b/>
          <w:color w:val="000000"/>
          <w:sz w:val="20"/>
        </w:rPr>
        <w:t xml:space="preserve">Approval of the Amendment to the Company’s 2024 Long-Term Incentive and Equity Compensation Plan. </w:t>
      </w:r>
      <w:r>
        <w:rPr>
          <w:rFonts w:ascii="Times New Roman;serif" w:hAnsi="Times New Roman;serif"/>
          <w:b w:val="false"/>
          <w:color w:val="000000"/>
          <w:sz w:val="20"/>
        </w:rPr>
        <w:t>The proposal for approval of the amendment to the Company’s 2024 Long-Term Incentive and Equity Compensation Plan was approved by the following vote: 44,964,590 shares for the proposal, 9,906,909 shares against the proposal, 276,218 shares abstaining and 8,709,134 broker non-votes.</w:t>
      </w:r>
    </w:p>
    <w:p>
      <w:pPr>
        <w:pStyle w:val="TextBody"/>
        <w:bidi w:val="0"/>
        <w:spacing w:lineRule="auto" w:line="288" w:before="120" w:after="283"/>
        <w:ind w:left="0" w:right="0" w:hanging="540"/>
        <w:jc w:val="left"/>
        <w:rPr/>
      </w:pPr>
      <w:r>
        <w:rPr>
          <w:rFonts w:ascii="Times New Roman;serif" w:hAnsi="Times New Roman;serif"/>
          <w:b w:val="false"/>
          <w:color w:val="000000"/>
          <w:sz w:val="20"/>
        </w:rPr>
        <w:t>5.</w:t>
      </w:r>
      <w:r>
        <w:rPr>
          <w:rFonts w:ascii="Times New Roman;serif" w:hAnsi="Times New Roman;serif"/>
          <w:b/>
          <w:color w:val="000000"/>
          <w:sz w:val="20"/>
        </w:rPr>
        <w:t xml:space="preserve">Approval of the Amendment to the Company’s Charter to Eliminate Supermajority Voting Provisions. </w:t>
      </w:r>
      <w:r>
        <w:rPr>
          <w:rFonts w:ascii="Times New Roman;serif" w:hAnsi="Times New Roman;serif"/>
          <w:b w:val="false"/>
          <w:color w:val="000000"/>
          <w:sz w:val="20"/>
        </w:rPr>
        <w:t>The proposal for approval of the amendment to the Company’s Amended and Restated Certificate of Incorporation to eliminate the supermajority voting provisions was not approved and received the following vote: 52,943,887 shares for the proposal, 1,935,641 shares against the proposal, 268,189 shares abstaining and 8,709,134 broker non-votes.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were no other matters presented for a vote at the Annual Meeting.</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6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April 30, 2026, following the retirement of Peter Altabef, the Board of the Company appointed Nathaniel A. Davis as the Chair of the Company’s Board. Mr. Davis previously served as the Board’s Lead Independent Director since 2018. The Board will no longer have a Lead Independent Director as Mr. Davis is an independent director.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color w:val="000000"/>
        </w:rPr>
        <w:t> </w:t>
      </w:r>
      <w:r>
        <w:rPr>
          <w:rFonts w:ascii="Times New Roman;serif" w:hAnsi="Times New Roman;serif"/>
          <w:b/>
          <w:color w:val="000000"/>
          <w:sz w:val="20"/>
          <w:u w:val="single"/>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397"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281"/>
        <w:gridCol w:w="281"/>
        <w:gridCol w:w="281"/>
        <w:gridCol w:w="1469"/>
        <w:gridCol w:w="1469"/>
        <w:gridCol w:w="1501"/>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Unisys Corporation</w:t>
            </w:r>
          </w:p>
        </w:tc>
        <w:tc>
          <w:tcPr>
            <w:tcW w:w="154" w:type="dxa"/>
            <w:tcBorders/>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Debra McCann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Debra McCann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and Chief Financial Officer </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907</Words>
  <Characters>5182</Characters>
  <CharactersWithSpaces>5979</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