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160"/>
        <w:spacing w:after="0"/>
        <w:rPr>
          <w:sz w:val="20"/>
          <w:szCs w:val="20"/>
          <w:color w:val="auto"/>
        </w:rPr>
      </w:pPr>
      <w:r>
        <w:rPr>
          <w:rFonts w:ascii="Courier New" w:cs="Courier New" w:eastAsia="Courier New" w:hAnsi="Courier New"/>
          <w:sz w:val="18"/>
          <w:szCs w:val="18"/>
          <w:color w:val="auto"/>
        </w:rPr>
        <w:t>______________________</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___</w:t>
      </w:r>
    </w:p>
    <w:p>
      <w:pPr>
        <w:spacing w:after="0"/>
        <w:tabs>
          <w:tab w:leader="none" w:pos="1040" w:val="left"/>
        </w:tabs>
        <w:rPr>
          <w:sz w:val="20"/>
          <w:szCs w:val="20"/>
          <w:color w:val="auto"/>
        </w:rPr>
      </w:pPr>
      <w:r>
        <w:rPr>
          <w:rFonts w:ascii="Courier New" w:cs="Courier New" w:eastAsia="Courier New" w:hAnsi="Courier New"/>
          <w:sz w:val="18"/>
          <w:szCs w:val="18"/>
          <w:color w:val="auto"/>
        </w:rPr>
        <w:t>[_X_]</w:t>
      </w:r>
      <w:r>
        <w:rPr>
          <w:sz w:val="20"/>
          <w:szCs w:val="20"/>
          <w:color w:val="auto"/>
        </w:rPr>
        <w:tab/>
      </w:r>
      <w:r>
        <w:rPr>
          <w:rFonts w:ascii="Courier New" w:cs="Courier New" w:eastAsia="Courier New" w:hAnsi="Courier New"/>
          <w:sz w:val="16"/>
          <w:szCs w:val="16"/>
          <w:color w:val="auto"/>
        </w:rPr>
        <w:t>QUARTERLY REPORT PURSUANT TO SECTION 13 OR 15(d)</w:t>
      </w:r>
    </w:p>
    <w:p>
      <w:pPr>
        <w:ind w:left="106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March 31, 1994.</w:t>
      </w:r>
    </w:p>
    <w:p>
      <w:pPr>
        <w:spacing w:after="0" w:line="201"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OR</w:t>
      </w:r>
    </w:p>
    <w:p>
      <w:pPr>
        <w:ind w:left="12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4"/>
          <w:szCs w:val="24"/>
          <w:color w:val="auto"/>
        </w:rPr>
      </w:pPr>
    </w:p>
    <w:p>
      <w:pPr>
        <w:ind w:left="1060" w:right="36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 to ____________</w:t>
      </w:r>
    </w:p>
    <w:p>
      <w:pPr>
        <w:sectPr>
          <w:pgSz w:w="11900" w:h="16838" w:orient="portrait"/>
          <w:cols w:equalWidth="0" w:num="1">
            <w:col w:w="10219"/>
          </w:cols>
          <w:pgMar w:left="240" w:top="852" w:right="1440" w:bottom="0" w:gutter="0" w:footer="0" w:header="0"/>
        </w:sectPr>
      </w:pPr>
    </w:p>
    <w:p>
      <w:pPr>
        <w:spacing w:after="0" w:line="207"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1-8729</w:t>
      </w:r>
    </w:p>
    <w:p>
      <w:pPr>
        <w:spacing w:after="0" w:line="200" w:lineRule="exact"/>
        <w:rPr>
          <w:sz w:val="24"/>
          <w:szCs w:val="24"/>
          <w:color w:val="auto"/>
        </w:rPr>
      </w:pPr>
    </w:p>
    <w:p>
      <w:pPr>
        <w:sectPr>
          <w:pgSz w:w="11900" w:h="16838" w:orient="portrait"/>
          <w:cols w:equalWidth="0" w:num="2">
            <w:col w:w="5280" w:space="200"/>
            <w:col w:w="4739"/>
          </w:cols>
          <w:pgMar w:left="240" w:top="852" w:right="1440" w:bottom="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UNISYS CORPORATION</w:t>
      </w: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38-0387840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500" w:space="720"/>
            <w:col w:w="5999"/>
          </w:cols>
          <w:pgMar w:left="240" w:top="852" w:right="1440" w:bottom="0" w:gutter="0" w:footer="0" w:header="0"/>
          <w:type w:val="continuous"/>
        </w:sectPr>
      </w:pPr>
    </w:p>
    <w:p>
      <w:pPr>
        <w:spacing w:after="0" w:line="18"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Township Line and Union Meeting Roads</w:t>
      </w:r>
    </w:p>
    <w:p>
      <w:pPr>
        <w:ind w:left="1800"/>
        <w:spacing w:after="0"/>
        <w:tabs>
          <w:tab w:leader="none" w:pos="6100" w:val="left"/>
        </w:tabs>
        <w:rPr>
          <w:sz w:val="20"/>
          <w:szCs w:val="20"/>
          <w:color w:val="auto"/>
        </w:rPr>
      </w:pPr>
      <w:r>
        <w:rPr>
          <w:rFonts w:ascii="Courier New" w:cs="Courier New" w:eastAsia="Courier New" w:hAnsi="Courier New"/>
          <w:sz w:val="18"/>
          <w:szCs w:val="18"/>
          <w:color w:val="auto"/>
        </w:rPr>
        <w:t>Blue Bell, Pennsylvania</w:t>
      </w:r>
      <w:r>
        <w:rPr>
          <w:sz w:val="20"/>
          <w:szCs w:val="20"/>
          <w:color w:val="auto"/>
        </w:rPr>
        <w:tab/>
      </w:r>
      <w:r>
        <w:rPr>
          <w:rFonts w:ascii="Courier New" w:cs="Courier New" w:eastAsia="Courier New" w:hAnsi="Courier New"/>
          <w:sz w:val="16"/>
          <w:szCs w:val="16"/>
          <w:color w:val="auto"/>
        </w:rPr>
        <w:t>19424</w:t>
      </w:r>
    </w:p>
    <w:p>
      <w:pPr>
        <w:ind w:left="138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Registrant's telephone number, including area code: (215) 986-4011</w:t>
      </w:r>
    </w:p>
    <w:p>
      <w:pPr>
        <w:spacing w:after="0" w:line="224" w:lineRule="exact"/>
        <w:rPr>
          <w:sz w:val="24"/>
          <w:szCs w:val="24"/>
          <w:color w:val="auto"/>
        </w:rPr>
      </w:pPr>
    </w:p>
    <w:p>
      <w:pPr>
        <w:ind w:right="3039" w:firstLine="527"/>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15(d)of the Securities</w:t>
      </w:r>
    </w:p>
    <w:p>
      <w:pPr>
        <w:sectPr>
          <w:pgSz w:w="11900" w:h="16838" w:orient="portrait"/>
          <w:cols w:equalWidth="0" w:num="1">
            <w:col w:w="10219"/>
          </w:cols>
          <w:pgMar w:left="240" w:top="852" w:right="1440" w:bottom="0" w:gutter="0" w:footer="0" w:header="0"/>
          <w:type w:val="continuous"/>
        </w:sectPr>
      </w:pPr>
    </w:p>
    <w:p>
      <w:pPr>
        <w:ind w:right="2619"/>
        <w:spacing w:after="0" w:line="237" w:lineRule="auto"/>
        <w:rPr>
          <w:sz w:val="20"/>
          <w:szCs w:val="20"/>
          <w:color w:val="auto"/>
        </w:rPr>
      </w:pPr>
      <w:r>
        <w:rPr>
          <w:rFonts w:ascii="Courier New" w:cs="Courier New" w:eastAsia="Courier New" w:hAnsi="Courier New"/>
          <w:sz w:val="18"/>
          <w:szCs w:val="18"/>
          <w:color w:val="auto"/>
        </w:rPr>
        <w:t>Exchange Act of 1934 during the preceding 12 months (or for such shorter period that the registrant was required to file such reports), and (2) has been subject to such filing requirements for the past 90 days. YES _X_ NO ___</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Number of shares of Common Stock outstanding as of March 31, 1994: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170,659,814</w:t>
      </w: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860" w:type="dxa"/>
            <w:vAlign w:val="bottom"/>
            <w:gridSpan w:val="3"/>
          </w:tcPr>
          <w:p>
            <w:pPr>
              <w:jc w:val="right"/>
              <w:ind w:right="1292"/>
              <w:spacing w:after="0"/>
              <w:rPr>
                <w:sz w:val="20"/>
                <w:szCs w:val="20"/>
                <w:color w:val="auto"/>
              </w:rPr>
            </w:pPr>
            <w:r>
              <w:rPr>
                <w:rFonts w:ascii="Courier New" w:cs="Courier New" w:eastAsia="Courier New" w:hAnsi="Courier New"/>
                <w:sz w:val="18"/>
                <w:szCs w:val="18"/>
                <w:color w:val="auto"/>
              </w:rPr>
              <w:t>UNISYS CORPORATION</w:t>
            </w:r>
          </w:p>
        </w:tc>
      </w:tr>
      <w:tr>
        <w:trPr>
          <w:trHeight w:val="203"/>
        </w:trPr>
        <w:tc>
          <w:tcPr>
            <w:tcW w:w="68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CONSOLIDATED BALANCE SHEET</w:t>
            </w:r>
          </w:p>
        </w:tc>
      </w:tr>
      <w:tr>
        <w:trPr>
          <w:trHeight w:val="203"/>
        </w:trPr>
        <w:tc>
          <w:tcPr>
            <w:tcW w:w="38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(Millions)</w:t>
            </w:r>
          </w:p>
        </w:tc>
        <w:tc>
          <w:tcPr>
            <w:tcW w:w="1480" w:type="dxa"/>
            <w:vAlign w:val="bottom"/>
          </w:tcPr>
          <w:p>
            <w:pPr>
              <w:spacing w:after="0"/>
              <w:rPr>
                <w:sz w:val="17"/>
                <w:szCs w:val="17"/>
                <w:color w:val="auto"/>
              </w:rPr>
            </w:pPr>
          </w:p>
        </w:tc>
      </w:tr>
      <w:tr>
        <w:trPr>
          <w:trHeight w:val="405"/>
        </w:trPr>
        <w:tc>
          <w:tcPr>
            <w:tcW w:w="380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December 31,</w:t>
            </w:r>
          </w:p>
        </w:tc>
      </w:tr>
      <w:tr>
        <w:trPr>
          <w:trHeight w:val="203"/>
        </w:trPr>
        <w:tc>
          <w:tcPr>
            <w:tcW w:w="38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80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576.2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835.4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and notes receivable, net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1,046.2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1,088.2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Finished equipment and supplies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Work in process and raw materials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w:t>
            </w:r>
          </w:p>
        </w:tc>
      </w:tr>
      <w:tr>
        <w:trPr>
          <w:trHeight w:val="203"/>
        </w:trPr>
        <w:tc>
          <w:tcPr>
            <w:tcW w:w="38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2,964.1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3,200.1</w:t>
            </w:r>
          </w:p>
        </w:tc>
      </w:tr>
      <w:tr>
        <w:trPr>
          <w:trHeight w:val="203"/>
        </w:trPr>
        <w:tc>
          <w:tcPr>
            <w:tcW w:w="38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Long-term receivables, net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98.7</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104.3</w:t>
            </w:r>
          </w:p>
        </w:tc>
      </w:tr>
      <w:tr>
        <w:trPr>
          <w:trHeight w:val="203"/>
        </w:trPr>
        <w:tc>
          <w:tcPr>
            <w:tcW w:w="38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Properties and rental equipment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2,755.6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2,776.0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Less-Accumulated depreciation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1,817.2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1,814.2</w:t>
            </w:r>
          </w:p>
        </w:tc>
      </w:tr>
      <w:tr>
        <w:trPr>
          <w:trHeight w:val="203"/>
        </w:trPr>
        <w:tc>
          <w:tcPr>
            <w:tcW w:w="38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4"/>
          </w:tcPr>
          <w:p>
            <w:pPr>
              <w:spacing w:after="0"/>
              <w:rPr>
                <w:sz w:val="20"/>
                <w:szCs w:val="20"/>
                <w:color w:val="auto"/>
              </w:rPr>
            </w:pPr>
            <w:r>
              <w:rPr>
                <w:rFonts w:ascii="Courier New" w:cs="Courier New" w:eastAsia="Courier New" w:hAnsi="Courier New"/>
                <w:sz w:val="18"/>
                <w:szCs w:val="18"/>
                <w:color w:val="auto"/>
              </w:rPr>
              <w:t>Properties and rental equipment, net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938.4</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961.8</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Cost in excess of net assets acquired</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1,173.5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1,183.9</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Investments at equity</w:t>
            </w: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303.6</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543.8</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543.8</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1,214.1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1,221.7</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$7,233.6</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$7,519.2</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gridSpan w:val="4"/>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918.1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1,027.0</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940.6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1,016.1</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Estimated income taxes</w:t>
            </w: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251.9</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2,263.3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2,365.9</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w:t>
            </w: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1,914.8</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2,025.0</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424.4</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432.8</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1,570.3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1,570.2</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171.2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159.8</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capital</w:t>
            </w: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951.5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963.8</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2,631.1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2,695.5</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$7,233.6</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$7,519.2</w:t>
            </w: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UNISYS CORPORATION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 OF INCOME (UNAUDITED)</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(Millions,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300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8"/>
              </w:rPr>
              <w:t>Three Months Ended March 31</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974.5</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$1,189.6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385.4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maintenance</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329.0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371.4</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1,688.9</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1,907.5</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sales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584.6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714.8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services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308.9</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equipment maintenance</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197.8</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Selling, general and administrative</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353.0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406.4</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130.3</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1,565.9</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1,755.1</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58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123.0</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152.4</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58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52.0</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net</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24.3</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95.3</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income taxes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Income before extraordinary items and</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67.7</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changes in accounting</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principles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230.2</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58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on preferred shares</w:t>
            </w: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30.1</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Earnings on common shares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230.2</w:t>
            </w:r>
          </w:p>
        </w:tc>
      </w:tr>
      <w:tr>
        <w:trPr>
          <w:trHeight w:val="203"/>
        </w:trPr>
        <w:tc>
          <w:tcPr>
            <w:tcW w:w="396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extraordinary items and</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changes in accounting</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principles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6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w:t>
            </w:r>
          </w:p>
        </w:tc>
      </w:tr>
      <w:tr>
        <w:trPr>
          <w:trHeight w:val="203"/>
        </w:trPr>
        <w:tc>
          <w:tcPr>
            <w:tcW w:w="396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extraordinary items and</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changes in accounting</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principles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396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717" w:right="1440" w:bottom="767"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UNISYS CORPORATION</w:t>
      </w:r>
    </w:p>
    <w:tbl>
      <w:tblPr>
        <w:tblLayout w:type="fixed"/>
        <w:tblInd w:w="0" w:type="dxa"/>
        <w:tblCellMar>
          <w:top w:w="0" w:type="dxa"/>
          <w:left w:w="0" w:type="dxa"/>
          <w:bottom w:w="0" w:type="dxa"/>
          <w:right w:w="0" w:type="dxa"/>
        </w:tblCellMar>
      </w:tblPr>
      <w:tr>
        <w:trPr>
          <w:trHeight w:val="203"/>
        </w:trPr>
        <w:tc>
          <w:tcPr>
            <w:tcW w:w="7060" w:type="dxa"/>
            <w:vAlign w:val="bottom"/>
            <w:gridSpan w:val="5"/>
          </w:tcPr>
          <w:p>
            <w:pPr>
              <w:ind w:left="2000"/>
              <w:spacing w:after="0" w:line="203" w:lineRule="exact"/>
              <w:rPr>
                <w:sz w:val="20"/>
                <w:szCs w:val="20"/>
                <w:color w:val="auto"/>
              </w:rPr>
            </w:pPr>
            <w:r>
              <w:rPr>
                <w:rFonts w:ascii="Courier New" w:cs="Courier New" w:eastAsia="Courier New" w:hAnsi="Courier New"/>
                <w:sz w:val="18"/>
                <w:szCs w:val="18"/>
                <w:color w:val="auto"/>
                <w:w w:val="97"/>
              </w:rPr>
              <w:t>CONSOLIDATED STATEMENT OF CASH FLOWS (UNAUDITED)</w:t>
            </w:r>
          </w:p>
        </w:tc>
      </w:tr>
      <w:tr>
        <w:trPr>
          <w:trHeight w:val="203"/>
        </w:trPr>
        <w:tc>
          <w:tcPr>
            <w:tcW w:w="5800" w:type="dxa"/>
            <w:vAlign w:val="bottom"/>
            <w:gridSpan w:val="3"/>
          </w:tcPr>
          <w:p>
            <w:pPr>
              <w:ind w:left="4020"/>
              <w:spacing w:after="0" w:line="203" w:lineRule="exact"/>
              <w:rPr>
                <w:sz w:val="20"/>
                <w:szCs w:val="20"/>
                <w:color w:val="auto"/>
              </w:rPr>
            </w:pPr>
            <w:r>
              <w:rPr>
                <w:rFonts w:ascii="Courier New" w:cs="Courier New" w:eastAsia="Courier New" w:hAnsi="Courier New"/>
                <w:sz w:val="18"/>
                <w:szCs w:val="18"/>
                <w:color w:val="auto"/>
              </w:rPr>
              <w:t>(Millions)</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7060" w:type="dxa"/>
            <w:vAlign w:val="bottom"/>
            <w:gridSpan w:val="5"/>
          </w:tcPr>
          <w:p>
            <w:pPr>
              <w:ind w:left="4020"/>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4540" w:type="dxa"/>
            <w:vAlign w:val="bottom"/>
          </w:tcPr>
          <w:p>
            <w:pPr>
              <w:spacing w:after="0"/>
              <w:rPr>
                <w:sz w:val="17"/>
                <w:szCs w:val="17"/>
                <w:color w:val="auto"/>
              </w:rPr>
            </w:pP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1994</w:t>
            </w:r>
          </w:p>
        </w:tc>
        <w:tc>
          <w:tcPr>
            <w:tcW w:w="6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$ 260.6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Add (deduct) items to reconcile net</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income to net cash (used for) provided</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extraordinary items and changes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 accounting principles</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(203.8)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61.6</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Marketable software</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37.5</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Cost in excess of net assets acquired</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receivables, net</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44.3</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179.1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inventories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( 44.8)</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accounts payable and</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(185.0)</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(150.8)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estimated income</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( 62.0)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other liabilities</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( 19.8)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other assets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( 17.6)</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provided by</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230.4</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investments</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334.7</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625.8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(334.1)</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(620.5)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marketable securities</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89.2</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Purchases of marketable securities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( 92.3)</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( 24.2)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sales of properties</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marketable software</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( 27.2)</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( 18.7)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additions of properties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rental equipment</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( 43.6)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( 39.1)</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( 70.6)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debt</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(139.2)</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(223.6)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from (reduction in) short-</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term borrowings</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 on preferred shares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( 45.6)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( 46.1)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(174.4)</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(281.0)</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 and cash equivalents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(259.2)</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( 59.2)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period</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835.4</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809.1</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 period</w:t>
            </w:r>
          </w:p>
        </w:tc>
        <w:tc>
          <w:tcPr>
            <w:tcW w:w="1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$ 576.2</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$ 749.9</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717" w:right="1440" w:bottom="1440" w:gutter="0" w:footer="0" w:header="0"/>
        </w:sectPr>
      </w:pPr>
    </w:p>
    <w:bookmarkStart w:id="4" w:name="page5"/>
    <w:bookmarkEnd w:id="4"/>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the opinion of management, the financial information furnished herein reflects all adjustments necessary for a fair presentation of the financial position, results of operations and cash flows for the interim periods specified. These adjustments consist only of normal recurring accruals. Because of seasonal and other factors, results for interim periods are not necessarily indicative of the results to be expected for the full year.</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 During the three months ended March 31, 1994, the Company recorded an extraordinary charge for the repurchases of debt of $7.7 million, net of $5.1 million of income tax benefits, or $.04 per fully diluted common share.</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b. Effective January 1, 1993, the Company adopted the Financial Accounting Standards Board's Statement of Financial Accounting Standards ("SFAS") 106, "Employers' Accounting for Postretirement Benefits Other Than Pensions," and SFAS 109, "Accounting for Income Taxes." The adoption of SFAS 106 decreased net income for the three months ended March 31, 1993 by $194.8 million, net of $124.5 million of income tax benefits, or $.79 per fully diluted common share, and the adoption of SFAS 109 increased net income for the three months ended March 31, 1993 by $425.0 million, or $1.73 per fully diluted common share.</w:t>
      </w:r>
    </w:p>
    <w:p>
      <w:pPr>
        <w:spacing w:after="0" w:line="200" w:lineRule="exact"/>
        <w:rPr>
          <w:sz w:val="20"/>
          <w:szCs w:val="20"/>
          <w:color w:val="auto"/>
        </w:rPr>
      </w:pPr>
    </w:p>
    <w:p>
      <w:pPr>
        <w:spacing w:after="0" w:line="39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c. In April 1993, the Company settled lawsuits with Honeywell Inc. in connection with its sale of the Sperry Aerospace Group in December 1986. As a result of the settlement, in the three months ended March 31, 1993, the Company recorded an extraordinary charge of $26.4 million, net of $16.8 million of income tax benefits, or $.11 per fully diluted common share.</w:t>
      </w:r>
    </w:p>
    <w:p>
      <w:pPr>
        <w:spacing w:after="0" w:line="210"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d. For the three months ended March 31, 1994 and 1993, the computation of primary earnings per share is based on the weighted average number of outstanding common shares and additional shares assuming the exercise of stock options. The computation of fully diluted earnings per share, for the three months ended March 31, 1994, assumes the conversion of the 8 1/4% Convertible Subordinated Notes due August 1, 2000. For the three months ended March 31, 1993, in addition to the assumed conversion of the Convertible Notes, the fully diluted earnings per share computation also assumes the conversion of Series A Preferred Stock. The shares used in the computations are as follows (in thousands):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Primary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Fully diluted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Three Months ended</w:t>
      </w:r>
    </w:p>
    <w:p>
      <w:pPr>
        <w:ind w:left="640"/>
        <w:spacing w:after="0" w:line="238" w:lineRule="auto"/>
        <w:rPr>
          <w:sz w:val="20"/>
          <w:szCs w:val="20"/>
          <w:color w:val="auto"/>
        </w:rPr>
      </w:pPr>
      <w:r>
        <w:rPr>
          <w:rFonts w:ascii="Courier New" w:cs="Courier New" w:eastAsia="Courier New" w:hAnsi="Courier New"/>
          <w:sz w:val="18"/>
          <w:szCs w:val="18"/>
          <w:color w:val="auto"/>
        </w:rPr>
        <w:t>March 31,</w:t>
      </w:r>
    </w:p>
    <w:p>
      <w:pPr>
        <w:ind w:left="1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tabs>
          <w:tab w:leader="none" w:pos="15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ind w:left="2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173,331</w:t>
      </w:r>
      <w:r>
        <w:rPr>
          <w:sz w:val="20"/>
          <w:szCs w:val="20"/>
          <w:color w:val="auto"/>
        </w:rPr>
        <w:tab/>
      </w:r>
      <w:r>
        <w:rPr>
          <w:rFonts w:ascii="Courier New" w:cs="Courier New" w:eastAsia="Courier New" w:hAnsi="Courier New"/>
          <w:sz w:val="16"/>
          <w:szCs w:val="16"/>
          <w:color w:val="auto"/>
        </w:rPr>
        <w:t>165,024</w:t>
      </w:r>
    </w:p>
    <w:p>
      <w:pPr>
        <w:spacing w:after="0" w:line="2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207,379</w:t>
      </w:r>
      <w:r>
        <w:rPr>
          <w:sz w:val="20"/>
          <w:szCs w:val="20"/>
          <w:color w:val="auto"/>
        </w:rPr>
        <w:tab/>
      </w:r>
      <w:r>
        <w:rPr>
          <w:rFonts w:ascii="Courier New" w:cs="Courier New" w:eastAsia="Courier New" w:hAnsi="Courier New"/>
          <w:sz w:val="16"/>
          <w:szCs w:val="16"/>
          <w:color w:val="auto"/>
        </w:rPr>
        <w:t>246,731</w:t>
      </w:r>
    </w:p>
    <w:p>
      <w:pPr>
        <w:sectPr>
          <w:pgSz w:w="11900" w:h="16838" w:orient="portrait"/>
          <w:cols w:equalWidth="0" w:num="2">
            <w:col w:w="2860" w:space="720"/>
            <w:col w:w="6639"/>
          </w:cols>
          <w:pgMar w:left="240" w:top="717" w:right="1440" w:bottom="1440" w:gutter="0" w:footer="0" w:header="0"/>
          <w:type w:val="continuous"/>
        </w:sectPr>
      </w:pPr>
    </w:p>
    <w:bookmarkStart w:id="5" w:name="page6"/>
    <w:bookmarkEnd w:id="5"/>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ind w:left="1160"/>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For the three months ended March 31, 1994, the Company reported net income of $60.0 million, or $.17 per primary and fully diluted common share, compared to net income of $260.6 million, or $1.39 per primary common share and $1.06 per fully diluted common share, for the three months ended March 31, 1993. Net income for the first quarter ended March 31, 1994 included a cost of $7.7 million, or $.04 per fully diluted common share, as a result of an extraordinary charge for repurchases of debt. Net income for the three months ended March 31, 1993 included an extraordinary charge of $26.4 million, or $.11 per fully diluted common share, and a credit of $230.2 million, or $.94 per fully diluted common share, as a result of the adoption of new accounting standards.</w:t>
      </w:r>
    </w:p>
    <w:p>
      <w:pPr>
        <w:spacing w:after="0" w:line="207"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Revenue for the first quarter ended March 31, 1994 was $1.7 billion, down 11% from revenue of $1.9 billion for the first quarter ended March 31, 1993. The largest declines occurred in Europe and in the Government Systems business units. Revenue in Europe was weaker than anticipated and the Company's goal for slight revenue growth Company-wide in 1994 will be dependent on significant improvement in this market. Sales revenue declined 18% to $1.0 billion from $1.2 billion in last years' first quarter, due to decreases in sales of enterprise systems and servers, departmental servers and desktop systems, software and custom defense systems. Services revenue increased 11% to $385.4 million from $346.5 million in last years' first quarter as the Company continued to implement its strategy to aggressively grow its services and systems integration business. Equipment maintenance revenue declined 11% to $329.0 million from $371.4 million last year, due principally to a decline in equipment sales and improved product reliability.</w:t>
      </w:r>
    </w:p>
    <w:p>
      <w:pPr>
        <w:spacing w:after="0" w:line="38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Total gross profit margin was 35% in the first quarter of 1994 compared to 36% in the same period a year earlier. This decline was principally due to a higher proportion of lower margin services revenue offset in part by favorable contract resolutions which improved sales gross profit margin. Sales gross profit margin was 40% in both periods; services gross profit margin was 20% in the current quarter compared to 19% last year; and equipment maintenance gross profit margin was 40% in both periods. Gross profit margins are expected to be pressured by competitive pricing and the continuing shift to lower margin products and services.</w:t>
      </w:r>
    </w:p>
    <w:p>
      <w:pPr>
        <w:spacing w:after="0" w:line="21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 the first quarter of 1994, selling, general and administrative expenses were $353.0 million compared to $406.4 million in the first quarter of 1993. The decline was principally due to the effects of cost containment actions and, to a lesser extent, foreign currency translation and nonrecurring expense reductions.</w:t>
      </w:r>
    </w:p>
    <w:p>
      <w:pPr>
        <w:spacing w:after="0" w:line="209"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Research and development expenses were $121.6 million in the quarter ended March 31, 1994 compared to $130.3 million a year earlier.</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As a result of the above, operating income was $123.0 million for the three months ended March 31, 1994 or 7% of revenue, compared to $152.4 million, or 8% of revenue, in the year ago period. The decline in operating income was principally due to lower revenue. Partially offsetting this decline were further cost reductions and favorable contract resolutions which included a royalty settlement with an OEM supplier. Given ongoing structural change in the industry and weakness in some markets, the Company continues to rely on cost reductions as a principal means for driving profit.</w:t>
      </w:r>
    </w:p>
    <w:p>
      <w:pPr>
        <w:sectPr>
          <w:pgSz w:w="11900" w:h="16838" w:orient="portrait"/>
          <w:cols w:equalWidth="0" w:num="1">
            <w:col w:w="10219"/>
          </w:cols>
          <w:pgMar w:left="240" w:top="514" w:right="1440" w:bottom="1440" w:gutter="0" w:footer="0" w:header="0"/>
        </w:sectPr>
      </w:pPr>
    </w:p>
    <w:bookmarkStart w:id="6" w:name="page7"/>
    <w:bookmarkEnd w:id="6"/>
    <w:p>
      <w:pPr>
        <w:ind w:left="1280" w:right="377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 (cont'd.)</w:t>
      </w:r>
    </w:p>
    <w:p>
      <w:pPr>
        <w:spacing w:after="0" w:line="37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Interest expense was $52.0 million compared with $72.1 million a year earlier, principally reflecting lower average debt levels.</w:t>
      </w:r>
    </w:p>
    <w:p>
      <w:pPr>
        <w:spacing w:after="0" w:line="208"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Other income in the first quarter of 1994 was $24.3 million compared to $3.2 million in the year ago period. The change is principally due to a smaller provision under the 1991 "Ill Wind" settlement agreement, which requires the Company to make contingency payments based on proceeds from asset sales and on net income. Other income in the first quarter of 1994 includes a charge of $6.0 million for such contingency payments compared to $20.0 million in the year ago period. The maximum contingent amount payable for 1994 under this settlement agreement is $30.0 million; the maximum contingent amount payable for 1993 was $20.0 million, all of which was provided for in the first quarter of 1993.</w:t>
      </w:r>
    </w:p>
    <w:p>
      <w:pPr>
        <w:spacing w:after="0" w:line="189"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It is the Company's policy to minimize its exposure to foreign currency fluctuations. On a net basis, and after taking into account the cost of the Company's hedging program, foreign currency effects had a minimal effect on pretax results for the three months ended March 31, 1994.</w:t>
      </w:r>
    </w:p>
    <w:p>
      <w:pPr>
        <w:spacing w:after="0" w:line="182"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Estimated income taxes were $27.6 million in the first quarter of 1994 compared to $26.7 million in the first quarter of 1993.</w:t>
      </w:r>
    </w:p>
    <w:p>
      <w:pPr>
        <w:spacing w:after="0" w:line="20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Net income for the three months ended March 31, 1994 was $60.0 million compared to $260.6 million for the three months ended March 31, 1993. Income before extraordinary items and changes in accounting principles for the three months ended March 31, 1994 was $67.7 million compared to $56.8 million in the year ago period.</w:t>
      </w:r>
    </w:p>
    <w:p>
      <w:pPr>
        <w:spacing w:after="0" w:line="209"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Excluding the effects of extraordinary items and accounting changes, fully diluted earnings per common share for the first quarter of 1994 were $.21 compared to $.23 for the first quarter of 1993. Because of the additional income caused by the accounting changes adopted in 1993, the earnings per share computation for 1993 assumed the conversion of Series A preferred stock. The 1994 computation does not assume such conversion since it would be antidilutive. If the 1993 computation had been made on a basis comparable to that of 1994, fully diluted earnings per common share before extraordinary items and changes in accounting principles would have been $.16 per share for the three months ended March 31, 1993 compared to $.21 per share for the three months ended March 31, 1994.</w:t>
      </w:r>
    </w:p>
    <w:p>
      <w:pPr>
        <w:sectPr>
          <w:pgSz w:w="11900" w:h="16838" w:orient="portrait"/>
          <w:cols w:equalWidth="0" w:num="1">
            <w:col w:w="10219"/>
          </w:cols>
          <w:pgMar w:left="240" w:top="520" w:right="1440" w:bottom="1440" w:gutter="0" w:footer="0" w:header="0"/>
        </w:sectPr>
      </w:pPr>
    </w:p>
    <w:bookmarkStart w:id="7" w:name="page8"/>
    <w:bookmarkEnd w:id="7"/>
    <w:p>
      <w:pPr>
        <w:ind w:left="1280" w:right="377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 (cont'd.)</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Extraordinary Items and Accounting Changes</w:t>
      </w:r>
    </w:p>
    <w:p>
      <w:pPr>
        <w:spacing w:after="0" w:line="207" w:lineRule="exact"/>
        <w:rPr>
          <w:sz w:val="20"/>
          <w:szCs w:val="20"/>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During the three months ended March 31, 1994, the Company repurchased and redeemed $112.5 million of debt. The associated costs resulted in an extraordinary charge of $7.7 million, net of $5.1 million of income tax benefits, or $.04 per fully diluted common share.</w:t>
      </w:r>
    </w:p>
    <w:p>
      <w:pPr>
        <w:spacing w:after="0" w:line="182"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Effective January 1, 1994, the Company adopted the Financial Accounting Standards Board's Statement of Financial Accounting Standards ("SFAS") 112, "Employers' Accounting for Postemployment Benefits," and SFAS 115, "Accounting for Certain Investments in Debt and Equity Securities." SFAS 112 establishes financial accounting standards for employers that provide benefits to former or inactive employees after employment but before retirement. SFAS 115 establishes financial accounting standards for investments in equity securities that have readily determinable fair values and for all investments in debt securities. The effect of adoption of these statements on the Company's consolidated financial position and results of operations was immaterial.</w:t>
      </w:r>
    </w:p>
    <w:p>
      <w:pPr>
        <w:spacing w:after="0" w:line="200" w:lineRule="exact"/>
        <w:rPr>
          <w:sz w:val="20"/>
          <w:szCs w:val="20"/>
          <w:color w:val="auto"/>
        </w:rPr>
      </w:pPr>
    </w:p>
    <w:p>
      <w:pPr>
        <w:spacing w:after="0" w:line="39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April 1993, the Company settled lawsuits with Honeywell Inc. in connection with its sale of the Sperry Aerospace Group in December 1986. As a result of the settlement, in the three months ended March 31, 1993, the Company recorded an extraordinary charge of $26.4 million, net of $16.8 million of income tax benefits, or $.11 per fully diluted common share.</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Effective January 1, 1993, the Company adopted SFAS 106, "Employers' Accounting for Postretirement Benefits Other Than Pensions," and SFAS 109, "Accounting for Income Taxes." The adoption of SFAS 106 decreased net income for the three months ended March 31, 1993 by $194.8 million, net of $124.5 million of income tax benefits, or $.79 per fully diluted common share, and the adoption of SFAS 109 increased net income for the three months ended March 31, 1993 by $425.0 million, or $1.73 per fully diluted common share.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During the three months ended March 31, 1994, the Company's operations used $7.0 million cash whereas operations generated $230.4 million cash in the same period a year earlier. Cash flow from operations decreased from a year ago as less cash was generated from reductions in inventories and accounts receivable.</w:t>
      </w:r>
    </w:p>
    <w:p>
      <w:pPr>
        <w:spacing w:after="0" w:line="209"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Investments in properties and rental equipment during the first quarter of 1994 were $43.6 million compared to $39.1 million in last years' first quarter.</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At March 31, 1994, total debt was $1.95 billion, a decline of $105.2 million from December 31, 1993 principally due to the repurchases and redemptions discussed above. The Company intends to continue repurchases or redemptions from time to time. Cash, cash equivalents and marketable securities at March 31, 1994 were $696.8 million compared to $950.5 million at December 31, 1993. During the three months ended March 31, 1994, debt net of cash and marketable securities increased $148.5 million. As a percent of total capital, debt net of cash and marketable securities at March 31, 1994 was 32% compared to 29% at December 31, 1993.</w:t>
      </w:r>
    </w:p>
    <w:p>
      <w:pPr>
        <w:sectPr>
          <w:pgSz w:w="11900" w:h="16838" w:orient="portrait"/>
          <w:cols w:equalWidth="0" w:num="1">
            <w:col w:w="10219"/>
          </w:cols>
          <w:pgMar w:left="240" w:top="520" w:right="1440" w:bottom="1440" w:gutter="0" w:footer="0" w:header="0"/>
        </w:sectPr>
      </w:pPr>
    </w:p>
    <w:bookmarkStart w:id="8" w:name="page9"/>
    <w:bookmarkEnd w:id="8"/>
    <w:p>
      <w:pPr>
        <w:ind w:left="1280" w:right="377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 (cont'd.)</w:t>
      </w:r>
    </w:p>
    <w:p>
      <w:pPr>
        <w:spacing w:after="0" w:line="37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 February 1994, the Company declared a Series A preferred stock dividend which was paid on April 15, 1994. On April 1, 1994, the Company declared a Series B and C preferred stock dividend which was also paid on April 15, 1994. These dividends included full payment for all preferred stock dividend arrearages.</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Stockholders' equity decreased $64.4 million during the first quarter of 1994, principally reflecting net income of $60.0 million, offset by preferred dividends of $112.2 million and unfavorable currency translation adjustments of $14.0 million.</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At March 31, 1994, the Company had deferred tax assets in excess of deferred tax liabilities of $1,123 million. For the reasons cited below, management believes that it is more likely than not that $773 million of such assets will be realized, therefore resulting in a valuation allowance of $350 million. In assessing the likelihood</w:t>
      </w:r>
    </w:p>
    <w:p>
      <w:pPr>
        <w:spacing w:after="0" w:line="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of realization of this asset, the Company has considered various factors including its forecast of future taxable income and available tax planning strategies that could be implemented to realize deferred tax assets.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principal basis used to assess the likelihood of realization was the Company's forecast of future taxable income which was adjusted by applying varying probability factors to the achievement of this forecast. Forecasted taxable income is expected to arise from ordinary and recurring operations and to be sufficient to realize the entire amount of net deferred tax assets. Approximately $2.3 billion of future taxable income (predominantly U.S.) is needed to realize all of the net deferred tax assets.</w:t>
      </w:r>
    </w:p>
    <w:p>
      <w:pPr>
        <w:spacing w:after="0" w:line="212"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The Company's net deferred tax assets include substantial amounts of net operating loss and tax credit carryforwards. The major portion of such carryforwards expire beyond the year 2003. In addition, substantial amounts of foreign net operating losses have an indefinite carryforward period. Failure to achieve forecasted taxable income might affect the ultimate realization of the net deferred tax assets. In recent years, the computer industry has undergone dramatic changes and there can be no assurance that in the future there could not be increased competition or other factors which may result in a decline in sales or margins, loss of market share, or technological obsolescence. The Company will evaluate quarterly the realizability of its net deferred tax assets by assessing its valuation allowance and by adjusting the amount of such allowance if necessary.</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1994, the Company may settle certain open tax years with the Internal Revenue Service, which could result in cash payments by the Company of approximately $125 million. These payments will not affect earnings since provision for these taxes has been made in prior years.</w:t>
      </w:r>
    </w:p>
    <w:p>
      <w:pPr>
        <w:sectPr>
          <w:pgSz w:w="11900" w:h="16838" w:orient="portrait"/>
          <w:cols w:equalWidth="0" w:num="1">
            <w:col w:w="10219"/>
          </w:cols>
          <w:pgMar w:left="240" w:top="52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7" w:lineRule="exact"/>
        <w:rPr>
          <w:sz w:val="20"/>
          <w:szCs w:val="20"/>
          <w:color w:val="auto"/>
        </w:rPr>
      </w:pPr>
    </w:p>
    <w:p>
      <w:pPr>
        <w:ind w:right="261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15, 1994, the Company paid in full the accumulated dividend arrearage on each of its Series A Cumulative Convertible Preferred Stock, Series B Cumulative Convertible Preferred Stock and Series C Cumulative Convertible Preferred Stock. As of the date of this Report, no preferred dividends are in arrears.</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See 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During the quarter ended March 31 1994, the Company filed no Current Reports on Form 8-K.</w:t>
      </w:r>
    </w:p>
    <w:p>
      <w:pPr>
        <w:sectPr>
          <w:pgSz w:w="11900" w:h="16838" w:orient="portrait"/>
          <w:cols w:equalWidth="0" w:num="1">
            <w:col w:w="10219"/>
          </w:cols>
          <w:pgMar w:left="240" w:top="514" w:right="1440" w:bottom="1440" w:gutter="0" w:footer="0" w:header="0"/>
        </w:sectPr>
      </w:pPr>
    </w:p>
    <w:bookmarkStart w:id="10" w:name="page11"/>
    <w:bookmarkEnd w:id="10"/>
    <w:p>
      <w:pPr>
        <w:ind w:left="40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UNISYS CORPORATION</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16,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Deborah C. Hopkins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Deborah C. Hopkins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3">
            <w:col w:w="540" w:space="200"/>
            <w:col w:w="1920" w:space="720"/>
            <w:col w:w="6839"/>
          </w:cols>
          <w:pgMar w:left="240" w:top="514" w:right="1440" w:bottom="1440" w:gutter="0" w:footer="0" w:header="0"/>
          <w:type w:val="continuous"/>
        </w:sectPr>
      </w:pPr>
    </w:p>
    <w:bookmarkStart w:id="11" w:name="page12"/>
    <w:bookmarkEnd w:id="11"/>
    <w:p>
      <w:pPr>
        <w:ind w:left="380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6" w:lineRule="exact"/>
        <w:rPr>
          <w:sz w:val="20"/>
          <w:szCs w:val="20"/>
          <w:color w:val="auto"/>
        </w:rPr>
      </w:pPr>
    </w:p>
    <w:p>
      <w:pPr>
        <w:sectPr>
          <w:pgSz w:w="11900" w:h="16838" w:orient="portrait"/>
          <w:cols w:equalWidth="0" w:num="2">
            <w:col w:w="2140" w:space="720"/>
            <w:col w:w="7359"/>
          </w:cols>
          <w:pgMar w:left="240" w:top="52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Computation of Earnings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Share for the three months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 1994 and 1993</w:t>
      </w:r>
    </w:p>
    <w:p>
      <w:pPr>
        <w:spacing w:after="0" w:line="200" w:lineRule="exact"/>
        <w:rPr>
          <w:sz w:val="20"/>
          <w:szCs w:val="20"/>
          <w:color w:val="auto"/>
        </w:rPr>
      </w:pPr>
    </w:p>
    <w:p>
      <w:pPr>
        <w:sectPr>
          <w:pgSz w:w="11900" w:h="16838" w:orient="portrait"/>
          <w:cols w:equalWidth="0" w:num="2">
            <w:col w:w="1400" w:space="720"/>
            <w:col w:w="8099"/>
          </w:cols>
          <w:pgMar w:left="240" w:top="52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Statement of Computation of Ratio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Earnings to Fixed Charges</w:t>
      </w:r>
    </w:p>
    <w:p>
      <w:pPr>
        <w:sectPr>
          <w:pgSz w:w="11900" w:h="16838" w:orient="portrait"/>
          <w:cols w:equalWidth="0" w:num="2">
            <w:col w:w="1400" w:space="720"/>
            <w:col w:w="8099"/>
          </w:cols>
          <w:pgMar w:left="240" w:top="520" w:right="1440" w:bottom="1440" w:gutter="0" w:footer="0" w:header="0"/>
          <w:type w:val="continuous"/>
        </w:sectPr>
      </w:pPr>
    </w:p>
    <w:bookmarkStart w:id="12" w:name="page13"/>
    <w:bookmarkEnd w:id="12"/>
    <w:p>
      <w:pPr>
        <w:ind w:left="220"/>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UNISYS CORPORATION</w:t>
      </w:r>
    </w:p>
    <w:p>
      <w:pPr>
        <w:spacing w:after="0" w:line="4" w:lineRule="exact"/>
        <w:rPr>
          <w:sz w:val="20"/>
          <w:szCs w:val="20"/>
          <w:color w:val="auto"/>
        </w:rPr>
      </w:pPr>
    </w:p>
    <w:p>
      <w:pPr>
        <w:ind w:left="1280" w:right="3259" w:firstLine="843"/>
        <w:spacing w:after="0" w:line="268" w:lineRule="auto"/>
        <w:rPr>
          <w:sz w:val="20"/>
          <w:szCs w:val="20"/>
          <w:color w:val="auto"/>
        </w:rPr>
      </w:pPr>
      <w:r>
        <w:rPr>
          <w:rFonts w:ascii="Courier New" w:cs="Courier New" w:eastAsia="Courier New" w:hAnsi="Courier New"/>
          <w:sz w:val="16"/>
          <w:szCs w:val="16"/>
          <w:color w:val="auto"/>
        </w:rPr>
        <w:t>STATEMENT OF COMPUTATION OF EARNINGS PER SHARE FOR THE THREE MONTHS ENDED MARCH 31, 1994 and 1993</w:t>
      </w:r>
    </w:p>
    <w:p>
      <w:pPr>
        <w:ind w:left="3900"/>
        <w:spacing w:after="0" w:line="233" w:lineRule="auto"/>
        <w:rPr>
          <w:sz w:val="20"/>
          <w:szCs w:val="20"/>
          <w:color w:val="auto"/>
        </w:rPr>
      </w:pPr>
      <w:r>
        <w:rPr>
          <w:rFonts w:ascii="Courier New" w:cs="Courier New" w:eastAsia="Courier New" w:hAnsi="Courier New"/>
          <w:sz w:val="18"/>
          <w:szCs w:val="18"/>
          <w:color w:val="auto"/>
        </w:rPr>
        <w:t>(UNAUDITED)</w:t>
      </w:r>
    </w:p>
    <w:p>
      <w:pPr>
        <w:ind w:left="2860"/>
        <w:spacing w:after="0"/>
        <w:rPr>
          <w:sz w:val="20"/>
          <w:szCs w:val="20"/>
          <w:color w:val="auto"/>
        </w:rPr>
      </w:pPr>
      <w:r>
        <w:rPr>
          <w:rFonts w:ascii="Courier New" w:cs="Courier New" w:eastAsia="Courier New" w:hAnsi="Courier New"/>
          <w:sz w:val="18"/>
          <w:szCs w:val="18"/>
          <w:color w:val="auto"/>
        </w:rPr>
        <w:t>(Millions,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1994</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Primary Earnings Per Common Share</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Average Number of Outstanding</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170,490,768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161,989,615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Shares Assuming Exercise</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Stock Options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2,840,526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3,034,664</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 Outstanding Common</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and Common Share Equivalents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173,331,294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165,024,279</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Income Before Extraordinary Items and</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$ 67.7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$ 56.8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on Series A, B and C</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w w:val="98"/>
              </w:rPr>
              <w:t>Primary Earnings on Common Shares Before</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Items and Changes in</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Accounting Principles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Changes in</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Principles</w:t>
            </w:r>
          </w:p>
        </w:tc>
        <w:tc>
          <w:tcPr>
            <w:tcW w:w="14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230.2</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Earnings on Common Shares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$ 29.9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$230.2</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Primary Earnings Per Common Share</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Before Extraordinary Items and Changes</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Accounting Principles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Changes in</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Accounting Principles</w:t>
            </w:r>
          </w:p>
        </w:tc>
        <w:tc>
          <w:tcPr>
            <w:tcW w:w="14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.17</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Fully Diluted Earnings Per Common Share</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Average Number of Outstanding Common</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and Common Share Equivalents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173,331,294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165,024,279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Shares:</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Assuming Conversion of:</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Series A Preferred Stock</w:t>
            </w:r>
          </w:p>
        </w:tc>
        <w:tc>
          <w:tcPr>
            <w:tcW w:w="14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47,712,534</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 1/4% Convertible Notes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33,699,634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33,699,634</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Attributable to Stock Options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348,457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294,792</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Common Shares Outstanding Assuming</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Full Dilution</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207,379,385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246,731,239</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Primary Earnings on Common Shares</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Extraordinary Items and</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$ 37.6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$ 26.4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Exclude Dividends on Series A</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4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on 8 1/4% Convertible</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Net of Applicable Tax</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42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 on Common</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Before Extraordinary Items</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ectPr>
          <w:pgSz w:w="11900" w:h="16838" w:orient="portrait"/>
          <w:cols w:equalWidth="0" w:num="1">
            <w:col w:w="10219"/>
          </w:cols>
          <w:pgMar w:left="240" w:top="744"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and Changes in Accounting Principles</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42.0</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Changes in Accounting</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Principles</w:t>
            </w:r>
          </w:p>
        </w:tc>
        <w:tc>
          <w:tcPr>
            <w:tcW w:w="14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230.2</w:t>
            </w:r>
          </w:p>
        </w:tc>
      </w:tr>
      <w:tr>
        <w:trPr>
          <w:trHeight w:val="203"/>
        </w:trPr>
        <w:tc>
          <w:tcPr>
            <w:tcW w:w="444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Fully Diluted Earnings on Common Shares</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$ 34.3</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$261.5</w:t>
            </w:r>
          </w:p>
        </w:tc>
      </w:tr>
      <w:tr>
        <w:trPr>
          <w:trHeight w:val="203"/>
        </w:trPr>
        <w:tc>
          <w:tcPr>
            <w:tcW w:w="444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Fully Diluted Earnings Per Common Share</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Extraordinary Items and Changes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Accounting Principles</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Changes in Accounting</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Principles</w:t>
            </w:r>
          </w:p>
        </w:tc>
        <w:tc>
          <w:tcPr>
            <w:tcW w:w="14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444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.17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w:t>
            </w:r>
          </w:p>
        </w:tc>
      </w:tr>
      <w:tr>
        <w:trPr>
          <w:trHeight w:val="203"/>
        </w:trPr>
        <w:tc>
          <w:tcPr>
            <w:tcW w:w="444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[DESCRIPTION] Ratio of Earnings to Fixed Charges</w:t>
      </w:r>
    </w:p>
    <w:p>
      <w:pPr>
        <w:spacing w:after="0" w:line="201" w:lineRule="exact"/>
        <w:rPr>
          <w:sz w:val="20"/>
          <w:szCs w:val="20"/>
          <w:color w:val="auto"/>
        </w:rPr>
      </w:pPr>
    </w:p>
    <w:p>
      <w:pPr>
        <w:ind w:left="8960"/>
        <w:spacing w:after="0"/>
        <w:rPr>
          <w:sz w:val="20"/>
          <w:szCs w:val="20"/>
          <w:color w:val="auto"/>
        </w:rPr>
      </w:pPr>
      <w:r>
        <w:rPr>
          <w:rFonts w:ascii="Courier New" w:cs="Courier New" w:eastAsia="Courier New" w:hAnsi="Courier New"/>
          <w:sz w:val="18"/>
          <w:szCs w:val="18"/>
          <w:color w:val="auto"/>
        </w:rPr>
        <w:t>EXHIBIT 12</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UNISYS CORPORATION</w:t>
      </w:r>
    </w:p>
    <w:p>
      <w:pPr>
        <w:ind w:left="1580"/>
        <w:spacing w:after="0" w:line="238" w:lineRule="auto"/>
        <w:rPr>
          <w:sz w:val="20"/>
          <w:szCs w:val="20"/>
          <w:color w:val="auto"/>
        </w:rPr>
      </w:pPr>
      <w:r>
        <w:rPr>
          <w:rFonts w:ascii="Courier New" w:cs="Courier New" w:eastAsia="Courier New" w:hAnsi="Courier New"/>
          <w:sz w:val="18"/>
          <w:szCs w:val="18"/>
          <w:color w:val="auto"/>
        </w:rPr>
        <w:t>COMPUTATION OF RATIO OF EARNINGS TO FIXED CHARGES (UNAUDITED)</w:t>
      </w:r>
    </w:p>
    <w:p>
      <w:pPr>
        <w:ind w:left="4440"/>
        <w:spacing w:after="0"/>
        <w:rPr>
          <w:sz w:val="20"/>
          <w:szCs w:val="20"/>
          <w:color w:val="auto"/>
        </w:rPr>
      </w:pPr>
      <w:r>
        <w:rPr>
          <w:rFonts w:ascii="Courier New" w:cs="Courier New" w:eastAsia="Courier New" w:hAnsi="Courier New"/>
          <w:sz w:val="18"/>
          <w:szCs w:val="18"/>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Three</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Months</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Ended</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w:t>
            </w:r>
          </w:p>
        </w:tc>
        <w:tc>
          <w:tcPr>
            <w:tcW w:w="940" w:type="dxa"/>
            <w:vAlign w:val="bottom"/>
          </w:tcPr>
          <w:p>
            <w:pPr>
              <w:spacing w:after="0"/>
              <w:rPr>
                <w:sz w:val="17"/>
                <w:szCs w:val="17"/>
                <w:color w:val="auto"/>
              </w:rPr>
            </w:pPr>
          </w:p>
        </w:tc>
        <w:tc>
          <w:tcPr>
            <w:tcW w:w="322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00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w:t>
            </w:r>
          </w:p>
        </w:tc>
        <w:tc>
          <w:tcPr>
            <w:tcW w:w="1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95.3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$503.4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$435.6</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$(1,288.3)</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$(337.3)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$(554.3)</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 (deduct) share of loss (income)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 associated companies</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ind w:left="420"/>
              <w:spacing w:after="0"/>
              <w:rPr>
                <w:sz w:val="20"/>
                <w:szCs w:val="20"/>
                <w:color w:val="auto"/>
              </w:rPr>
            </w:pPr>
            <w:r>
              <w:rPr>
                <w:rFonts w:ascii="Courier New" w:cs="Courier New" w:eastAsia="Courier New" w:hAnsi="Courier New"/>
                <w:sz w:val="18"/>
                <w:szCs w:val="18"/>
                <w:color w:val="auto"/>
              </w:rPr>
              <w:t>Subtotal</w:t>
            </w: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98.6</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517.9</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438.8</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(1,294.8)</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(389.1)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(604.3)</w:t>
            </w: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Interest expense (net of interest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capitalized)</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340.6</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407.6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446.7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425.7</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Amortization of debt issuance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Portion of rental</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representative</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interest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78.8</w:t>
            </w: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Total Fixed Charges</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72.6</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324.3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429.7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495.8</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530.7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506.1</w:t>
            </w: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Earnings (loss) before estimated</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and fixed charges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$(799.0)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$ 141.6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$( 98.2)</w:t>
            </w: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Ratio of earnings to fixed charges</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2.36</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2.02</w:t>
            </w:r>
          </w:p>
        </w:tc>
        <w:tc>
          <w:tcPr>
            <w:tcW w:w="1280" w:type="dxa"/>
            <w:vAlign w:val="bottom"/>
          </w:tcPr>
          <w:p>
            <w:pPr>
              <w:ind w:left="540"/>
              <w:spacing w:after="0"/>
              <w:rPr>
                <w:sz w:val="20"/>
                <w:szCs w:val="20"/>
                <w:color w:val="auto"/>
              </w:rPr>
            </w:pPr>
            <w:r>
              <w:rPr>
                <w:rFonts w:ascii="Courier New" w:cs="Courier New" w:eastAsia="Courier New" w:hAnsi="Courier New"/>
                <w:sz w:val="18"/>
                <w:szCs w:val="18"/>
                <w:color w:val="auto"/>
              </w:rPr>
              <w:t>(a)</w:t>
            </w: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(a)</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w:t>
            </w:r>
          </w:p>
        </w:tc>
      </w:tr>
      <w:tr>
        <w:trPr>
          <w:trHeight w:val="203"/>
        </w:trPr>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19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in 1991, 1990 and 1989 were inadequate to cover fixed charges by $1,294.8 million, $389.1 million and $604.3 million, respectively.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2019-12-13T14:05:26Z</dcterms:created>
  <dcterms:modified xsi:type="dcterms:W3CDTF">2019-12-13T14:05:26Z</dcterms:modified>
</cp:coreProperties>
</file>