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740410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283210</wp:posOffset>
            </wp:positionV>
            <wp:extent cx="2082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267970</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UNISYS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318770</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35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9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362" w:lineRule="exact"/>
        <w:rPr>
          <w:sz w:val="24"/>
          <w:szCs w:val="24"/>
          <w:color w:val="auto"/>
        </w:rPr>
      </w:pPr>
    </w:p>
    <w:p>
      <w:pPr>
        <w:ind w:left="340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1-8729</w:t>
      </w:r>
    </w:p>
    <w:p>
      <w:pPr>
        <w:spacing w:after="0" w:line="391"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315" w:lineRule="exact"/>
        <w:rPr>
          <w:rFonts w:ascii="Times New Roman" w:cs="Times New Roman" w:eastAsia="Times New Roman" w:hAnsi="Times New Roman"/>
          <w:sz w:val="18"/>
          <w:szCs w:val="18"/>
          <w:color w:val="auto"/>
        </w:rPr>
      </w:pPr>
    </w:p>
    <w:p>
      <w:pPr>
        <w:ind w:left="3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UNISYS CORPORATION SAVINGS PLAN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30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UNISYS CORPORATION</w:t>
      </w:r>
    </w:p>
    <w:p>
      <w:pPr>
        <w:spacing w:after="0" w:line="4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801 Lakeview Dr., Suite 100</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142875</wp:posOffset>
            </wp:positionV>
            <wp:extent cx="7089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83185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20"/>
          </w:cols>
          <w:pgMar w:left="320" w:top="1240"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9000" w:type="dxa"/>
            <w:vAlign w:val="bottom"/>
          </w:tcPr>
          <w:p>
            <w:pPr>
              <w:spacing w:after="0"/>
              <w:rPr>
                <w:sz w:val="20"/>
                <w:szCs w:val="20"/>
                <w:color w:val="auto"/>
              </w:rPr>
            </w:pPr>
          </w:p>
        </w:tc>
        <w:tc>
          <w:tcPr>
            <w:tcW w:w="2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9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1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0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 of Net Assets Available for Benefits – December 31, 2024 and 2023</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 Years ended December 31, 2024 and 2023</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0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43"/>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 – December 31, 2024</w:t>
            </w:r>
          </w:p>
        </w:tc>
        <w:tc>
          <w:tcPr>
            <w:tcW w:w="19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6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19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6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19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NOTE: All other schedules required by the Department of Labor’s Rules and Regulations for Reporting and Disclosure under the Employee Retirement Income Security Act of 1974 (ERISA) have been omitted because they are not applicable.</w:t>
      </w:r>
    </w:p>
    <w:p>
      <w:pPr>
        <w:sectPr>
          <w:pgSz w:w="11900" w:h="16838" w:orient="portrait"/>
          <w:cols w:equalWidth="0" w:num="1">
            <w:col w:w="11180"/>
          </w:cols>
          <w:pgMar w:left="320" w:top="891"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Unisys Corporation Savings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Unisys Corporation Savings Plan (the “Plan”) as of December 31, 2024 and 2023,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schedule of assets (held at end of year) as of December 31, 2024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ectPr>
          <w:pgSz w:w="11900" w:h="16838" w:orient="portrait"/>
          <w:cols w:equalWidth="0" w:num="1">
            <w:col w:w="11220"/>
          </w:cols>
          <w:pgMar w:left="320" w:top="135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Master Trust: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1,170,192</w:t>
            </w:r>
          </w:p>
        </w:tc>
      </w:tr>
      <w:tr>
        <w:trPr>
          <w:trHeight w:val="230"/>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91,899</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Master Trust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1,262,091</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1,265,673</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89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ind w:right="49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STATEMENTS OF CHANGES IN NET ASSETS AVAILABLE FOR BENEFITS </w:t>
      </w:r>
      <w:r>
        <w:rPr>
          <w:rFonts w:ascii="Times New Roman" w:cs="Times New Roman" w:eastAsia="Times New Roman" w:hAnsi="Times New Roman"/>
          <w:sz w:val="18"/>
          <w:szCs w:val="18"/>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earned on notes receivable from participants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investment income from Master Trust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199,517</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199,753</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r>
      <w:tr>
        <w:trPr>
          <w:trHeight w:val="230"/>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Employer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33,772</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credit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233,721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153,442</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79,670</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1,186,003</w:t>
            </w:r>
          </w:p>
        </w:tc>
      </w:tr>
      <w:tr>
        <w:trPr>
          <w:trHeight w:val="223"/>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1,265,673</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89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DESCRIPTION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Unisys Corporation Savings Plan (the Plan) is a defined contribution plan that covers non-bargaining employees paid from a United States payroll of Unisys Corporation (the Company) and bargaining unit employees whose collective bargaining agreement provides for participation in the Plan. The Plan is subject to the provisions of the Employee Retirement Income Security Act of 1974, as amended (ERISA).</w:t>
      </w:r>
    </w:p>
    <w:p>
      <w:pPr>
        <w:spacing w:after="0" w:line="162" w:lineRule="exact"/>
        <w:rPr>
          <w:rFonts w:ascii="Times New Roman" w:cs="Times New Roman" w:eastAsia="Times New Roman" w:hAnsi="Times New Roman"/>
          <w:sz w:val="18"/>
          <w:szCs w:val="18"/>
          <w:b w:val="1"/>
          <w:bCs w:val="1"/>
          <w:color w:val="auto"/>
        </w:rPr>
      </w:pPr>
    </w:p>
    <w:p>
      <w:pPr>
        <w:ind w:left="340" w:righ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should refer to the Plan instrument, the summary Plan description and subsequent summaries of material modifications, and their respective bargaining unit agreement, if applicable, for complete information.</w:t>
      </w:r>
    </w:p>
    <w:p>
      <w:pPr>
        <w:spacing w:after="0" w:line="171" w:lineRule="exact"/>
        <w:rPr>
          <w:rFonts w:ascii="Times New Roman" w:cs="Times New Roman" w:eastAsia="Times New Roman" w:hAnsi="Times New Roman"/>
          <w:sz w:val="18"/>
          <w:szCs w:val="18"/>
          <w:b w:val="1"/>
          <w:bCs w:val="1"/>
          <w:color w:val="auto"/>
        </w:rPr>
      </w:pPr>
    </w:p>
    <w:p>
      <w:pPr>
        <w:ind w:left="3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Contributions </w:t>
      </w:r>
      <w:r>
        <w:rPr>
          <w:rFonts w:ascii="Times New Roman" w:cs="Times New Roman" w:eastAsia="Times New Roman" w:hAnsi="Times New Roman"/>
          <w:sz w:val="18"/>
          <w:szCs w:val="18"/>
          <w:color w:val="auto"/>
        </w:rPr>
        <w:t>— Each Plan year, participants may contribute up to 80% or 9% of their pretax eligible compensation up to the prescribed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of 1986, as amended (the Code) limit, depending on their classification as a non-highly compensated or highly compensated employee, respectively. Participants who are age 50 or older and meet certain other Plan requirements regarding contributions may make pretax catch-up contributions to the Plan. Participants may also make after-tax contributions up to 6% of their eligible compensation. Company matching contributions are equal to 50% of the first 6% of eligible compensation deferred by the participant on a pretax basis and are made in the form of cash. Effective January 1, 2025, for participants with one year of service, the Company's matching contributions are equal to 100% of the first 3%, plus 50% of the next 2% eligible compensation deferred by the participant on a pretax basis.</w:t>
      </w:r>
    </w:p>
    <w:p>
      <w:pPr>
        <w:spacing w:after="0" w:line="182" w:lineRule="exact"/>
        <w:rPr>
          <w:rFonts w:ascii="Times New Roman" w:cs="Times New Roman" w:eastAsia="Times New Roman" w:hAnsi="Times New Roman"/>
          <w:sz w:val="18"/>
          <w:szCs w:val="18"/>
          <w:b w:val="1"/>
          <w:bCs w:val="1"/>
          <w:color w:val="auto"/>
        </w:rPr>
      </w:pPr>
    </w:p>
    <w:p>
      <w:pPr>
        <w:ind w:left="340" w:right="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Options </w:t>
      </w:r>
      <w:r>
        <w:rPr>
          <w:rFonts w:ascii="Times New Roman" w:cs="Times New Roman" w:eastAsia="Times New Roman" w:hAnsi="Times New Roman"/>
          <w:sz w:val="18"/>
          <w:szCs w:val="18"/>
          <w:color w:val="auto"/>
        </w:rPr>
        <w:t>— Participants may elect to have their current contributions and existing account balances invested in certain investment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by the Plan. Information regarding the investment options is provided to each participant through electronic media, or printed media upon request, and prepared materials provided by the Company and in each investment fund’s prospectus.</w:t>
      </w:r>
    </w:p>
    <w:p>
      <w:pPr>
        <w:spacing w:after="0" w:line="170" w:lineRule="exact"/>
        <w:rPr>
          <w:rFonts w:ascii="Times New Roman" w:cs="Times New Roman" w:eastAsia="Times New Roman" w:hAnsi="Times New Roman"/>
          <w:sz w:val="18"/>
          <w:szCs w:val="18"/>
          <w:b w:val="1"/>
          <w:bCs w:val="1"/>
          <w:color w:val="auto"/>
        </w:rPr>
      </w:pPr>
    </w:p>
    <w:p>
      <w:pPr>
        <w:ind w:left="340" w:right="1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Participant Accounts </w:t>
      </w:r>
      <w:r>
        <w:rPr>
          <w:rFonts w:ascii="Times New Roman" w:cs="Times New Roman" w:eastAsia="Times New Roman" w:hAnsi="Times New Roman"/>
          <w:sz w:val="18"/>
          <w:szCs w:val="18"/>
          <w:color w:val="auto"/>
        </w:rPr>
        <w:t>— Each participant’s account is credited with the participant’s contributions, matching contributions from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allocations of Plan earnings (losses), and may be charged with an allocation of administrative expenses. Allocations are based on participant earnings or account balances, as defined in the Plan document. The benefit to which a participant is entitled is equal to the vested portion of the participant's account.</w:t>
      </w:r>
    </w:p>
    <w:p>
      <w:pPr>
        <w:spacing w:after="0" w:line="176" w:lineRule="exact"/>
        <w:rPr>
          <w:rFonts w:ascii="Times New Roman" w:cs="Times New Roman" w:eastAsia="Times New Roman" w:hAnsi="Times New Roman"/>
          <w:sz w:val="18"/>
          <w:szCs w:val="18"/>
          <w:b w:val="1"/>
          <w:bCs w:val="1"/>
          <w:color w:val="auto"/>
        </w:rPr>
      </w:pPr>
    </w:p>
    <w:p>
      <w:pPr>
        <w:ind w:left="340" w:right="2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 Plan participants are immediately vested in their account balances at all times and are subject to a 3-year graded vesting schedule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matching contributions. Effective January 1, 2025, new plan participants are immediately vested in their contributions and the Company's matching contributions.</w:t>
      </w:r>
    </w:p>
    <w:p>
      <w:pPr>
        <w:spacing w:after="0" w:line="17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Receivable from Participants — </w:t>
      </w:r>
      <w:r>
        <w:rPr>
          <w:rFonts w:ascii="Times New Roman" w:cs="Times New Roman" w:eastAsia="Times New Roman" w:hAnsi="Times New Roman"/>
          <w:sz w:val="18"/>
          <w:szCs w:val="18"/>
          <w:color w:val="auto"/>
        </w:rPr>
        <w:t>Participants may borrow from their Plan accounts up to a maximum equal to the lesser of: (i) the lesser of</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$50,000 or 50% of their vested account balance; or (ii) the greater of $10,000, or one-half of the value of the vested portion of the employee’s accounts under all plans maintained by the Company and all affiliates. Loan terms range from one to five years, or up to 15 years for the purchase of a primary residence. The loans are secured by the balance in the participant’s account and bear interest at a fixed rate of interest that is commercially reasonable, as determined by the Plan Administrator. A participant may not have more than one loan outstanding. Principal and interest is paid ratably through payroll deductions.</w:t>
      </w:r>
    </w:p>
    <w:p>
      <w:pPr>
        <w:spacing w:after="0" w:line="182" w:lineRule="exact"/>
        <w:rPr>
          <w:rFonts w:ascii="Times New Roman" w:cs="Times New Roman" w:eastAsia="Times New Roman" w:hAnsi="Times New Roman"/>
          <w:sz w:val="18"/>
          <w:szCs w:val="18"/>
          <w:b w:val="1"/>
          <w:bCs w:val="1"/>
          <w:color w:val="auto"/>
        </w:rPr>
      </w:pPr>
    </w:p>
    <w:p>
      <w:pPr>
        <w:ind w:left="340" w:right="1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Benefits — </w:t>
      </w:r>
      <w:r>
        <w:rPr>
          <w:rFonts w:ascii="Times New Roman" w:cs="Times New Roman" w:eastAsia="Times New Roman" w:hAnsi="Times New Roman"/>
          <w:sz w:val="18"/>
          <w:szCs w:val="18"/>
          <w:color w:val="auto"/>
        </w:rPr>
        <w:t>On termination of service, a participant may receive a lump-sum amount equal to the vested balance of their account,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over one to twenty years, continue to hold their vested balance in the Plan (if it exceeds $1,000), or elect to roll over their balance into an eligible retirement plan as defined in the Code, including another qualified plan, the terms of which permit the acceptance of rollover distributions. Active participants may not elect to receive distributions in the form of an annuity or annual installments, and may receive in-service withdrawals in certain circumstances, as defined in the Plan document. The age requirement for minimum distributions is 73.</w:t>
      </w:r>
    </w:p>
    <w:p>
      <w:pPr>
        <w:spacing w:after="0" w:line="179" w:lineRule="exact"/>
        <w:rPr>
          <w:rFonts w:ascii="Times New Roman" w:cs="Times New Roman" w:eastAsia="Times New Roman" w:hAnsi="Times New Roman"/>
          <w:sz w:val="18"/>
          <w:szCs w:val="18"/>
          <w:b w:val="1"/>
          <w:bCs w:val="1"/>
          <w:color w:val="auto"/>
        </w:rPr>
      </w:pPr>
    </w:p>
    <w:p>
      <w:pPr>
        <w:ind w:left="340" w:right="3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Administrative Fees — </w:t>
      </w:r>
      <w:r>
        <w:rPr>
          <w:rFonts w:ascii="Times New Roman" w:cs="Times New Roman" w:eastAsia="Times New Roman" w:hAnsi="Times New Roman"/>
          <w:sz w:val="18"/>
          <w:szCs w:val="18"/>
          <w:color w:val="auto"/>
        </w:rPr>
        <w:t>As provided in the Plan document, administrative fees may be paid either by the Plan or the Company.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paid by the Plan consist of record keeping, legal, accounting, trustee, investment consulting and other administrative fees.</w:t>
      </w:r>
    </w:p>
    <w:p>
      <w:pPr>
        <w:spacing w:after="0" w:line="154" w:lineRule="exact"/>
        <w:rPr>
          <w:rFonts w:ascii="Times New Roman" w:cs="Times New Roman" w:eastAsia="Times New Roman" w:hAnsi="Times New Roman"/>
          <w:sz w:val="18"/>
          <w:szCs w:val="18"/>
          <w:b w:val="1"/>
          <w:bCs w:val="1"/>
          <w:color w:val="auto"/>
        </w:rPr>
      </w:pPr>
    </w:p>
    <w:p>
      <w:pPr>
        <w:ind w:left="340" w:right="2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Credit Program — </w:t>
      </w:r>
      <w:r>
        <w:rPr>
          <w:rFonts w:ascii="Times New Roman" w:cs="Times New Roman" w:eastAsia="Times New Roman" w:hAnsi="Times New Roman"/>
          <w:sz w:val="18"/>
          <w:szCs w:val="18"/>
          <w:color w:val="auto"/>
        </w:rPr>
        <w:t>The Plan provides for a revenue credit program in connection with revenue sharing with certain investment managers.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amounts may be used to pay Plan expenses or allocated to eligible participant accounts.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94" w:right="339" w:bottom="1440" w:gutter="0" w:footer="0" w:header="0"/>
        </w:sectPr>
      </w:pPr>
    </w:p>
    <w:bookmarkStart w:id="6" w:name="page7"/>
    <w:bookmarkEnd w:id="6"/>
    <w:p>
      <w:pPr>
        <w:ind w:left="332"/>
        <w:spacing w:after="0"/>
        <w:rPr>
          <w:sz w:val="20"/>
          <w:szCs w:val="20"/>
          <w:color w:val="auto"/>
        </w:rPr>
      </w:pPr>
      <w:r>
        <w:rPr>
          <w:rFonts w:ascii="Times New Roman" w:cs="Times New Roman" w:eastAsia="Times New Roman" w:hAnsi="Times New Roman"/>
          <w:sz w:val="18"/>
          <w:szCs w:val="18"/>
          <w:color w:val="auto"/>
        </w:rPr>
        <w:t>The amount allocated to participant accounts for the years ended December 31, 2024 and 2023 was $0.2 million and $0.2 million, respectively.</w:t>
      </w:r>
    </w:p>
    <w:p>
      <w:pPr>
        <w:spacing w:after="0" w:line="221" w:lineRule="exact"/>
        <w:rPr>
          <w:sz w:val="20"/>
          <w:szCs w:val="20"/>
          <w:color w:val="auto"/>
        </w:rPr>
      </w:pPr>
    </w:p>
    <w:p>
      <w:pPr>
        <w:jc w:val="both"/>
        <w:ind w:left="332"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Termination — </w:t>
      </w:r>
      <w:r>
        <w:rPr>
          <w:rFonts w:ascii="Times New Roman" w:cs="Times New Roman" w:eastAsia="Times New Roman" w:hAnsi="Times New Roman"/>
          <w:sz w:val="18"/>
          <w:szCs w:val="18"/>
          <w:color w:val="auto"/>
        </w:rPr>
        <w:t>The Company has the right under the Plan to discontinue its matching contributions and/or to terminate the Plan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ERISA. As of December 31, 2024, the Company has not expressed any intent to terminate the Plan. In the event of Plan termination, participants remain 100% vested in their accounts.</w:t>
      </w:r>
    </w:p>
    <w:p>
      <w:pPr>
        <w:spacing w:after="0" w:line="171" w:lineRule="exact"/>
        <w:rPr>
          <w:sz w:val="20"/>
          <w:szCs w:val="20"/>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332"/>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Accounting </w:t>
      </w:r>
      <w:r>
        <w:rPr>
          <w:rFonts w:ascii="Times New Roman" w:cs="Times New Roman" w:eastAsia="Times New Roman" w:hAnsi="Times New Roman"/>
          <w:sz w:val="18"/>
          <w:szCs w:val="18"/>
          <w:color w:val="auto"/>
        </w:rPr>
        <w:t>— The accompanying financial statements were prepared in accordance with U.S. generally accepted accounting principles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under the accrual basis of accounting.</w:t>
      </w:r>
    </w:p>
    <w:p>
      <w:pPr>
        <w:spacing w:after="0" w:line="15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18"/>
          <w:szCs w:val="18"/>
          <w:color w:val="auto"/>
        </w:rPr>
        <w:t>— Benefit payments to participants and beneficiaries are recorded upon distribution.</w:t>
      </w:r>
    </w:p>
    <w:p>
      <w:pPr>
        <w:spacing w:after="0" w:line="225" w:lineRule="exact"/>
        <w:rPr>
          <w:rFonts w:ascii="Times New Roman" w:cs="Times New Roman" w:eastAsia="Times New Roman" w:hAnsi="Times New Roman"/>
          <w:sz w:val="18"/>
          <w:szCs w:val="18"/>
          <w:b w:val="1"/>
          <w:bCs w:val="1"/>
          <w:color w:val="auto"/>
        </w:rPr>
      </w:pPr>
    </w:p>
    <w:p>
      <w:pPr>
        <w:ind w:left="332" w:right="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financial statements in conformity with U.S. GAAP requires Plan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liabilities, and changes therein, and disclosure of contingent assets and liabilities. Actual results could differ from those estimates.</w:t>
      </w:r>
    </w:p>
    <w:p>
      <w:pPr>
        <w:spacing w:after="0" w:line="170" w:lineRule="exact"/>
        <w:rPr>
          <w:rFonts w:ascii="Times New Roman" w:cs="Times New Roman" w:eastAsia="Times New Roman" w:hAnsi="Times New Roman"/>
          <w:sz w:val="18"/>
          <w:szCs w:val="18"/>
          <w:b w:val="1"/>
          <w:bCs w:val="1"/>
          <w:color w:val="auto"/>
        </w:rPr>
      </w:pPr>
    </w:p>
    <w:p>
      <w:pPr>
        <w:ind w:left="332"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Valuation and Income Recognition — </w:t>
      </w:r>
      <w:r>
        <w:rPr>
          <w:rFonts w:ascii="Times New Roman" w:cs="Times New Roman" w:eastAsia="Times New Roman" w:hAnsi="Times New Roman"/>
          <w:sz w:val="18"/>
          <w:szCs w:val="18"/>
          <w:color w:val="auto"/>
        </w:rPr>
        <w:t>The Plan’s investments are stated at fair value except those investments that are fully benefit-responsive investment contracts, which are stated at contract value. Shares of registered investment companies are valued at quoted market prices, which represent the fair value of shares held by the Plan at year-end. The fair value of the participation units owned in the commingled pools are based on quoted redemption values on the last business day of the Plan year. Shares of the Company’s common stock are valued at the closing market price on the last day of the Plan year.</w:t>
      </w:r>
    </w:p>
    <w:p>
      <w:pPr>
        <w:spacing w:after="0" w:line="183" w:lineRule="exact"/>
        <w:rPr>
          <w:rFonts w:ascii="Times New Roman" w:cs="Times New Roman" w:eastAsia="Times New Roman" w:hAnsi="Times New Roman"/>
          <w:sz w:val="18"/>
          <w:szCs w:val="18"/>
          <w:b w:val="1"/>
          <w:bCs w:val="1"/>
          <w:color w:val="auto"/>
        </w:rPr>
      </w:pPr>
    </w:p>
    <w:p>
      <w:pPr>
        <w:ind w:left="332"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Unisys Interest Income Fund includes investments in a short-term investment fund and synthetic guaranteed investment contracts, which have underlying assets primarily made up of bonds, issued principally by insurance companies and financial institutions.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guaranteed investment contract issuer is contractually obligated to repay the principal and a specified interest rate that is guaranteed to the Plan. Contract value represents contributions and reinvested income, less any withdrawals plus accrued interest, because these investments have fully benefit-responsive features. All participant-initiated transactions with the Unisys Interest Income Fund are permitted at contract value. Withdrawals may not be transferred to competing (short-term bond) funds for 90 days. No other conditions, limits, or restrictions apply to participant-initiated transactions to or from the Unisys Interest Income Fund. However, withdrawals influenced by Company-initiated events, such as in connection with the sale of a business, may result in a distribution at other than contract value. The Plan Administrator does not believe that the occurrence of any of these events that would limit the Plan’s availability to transact at contract value is probable of occurring. No reserves have been provided or are considered necessary against contract values for credit risk of contract issuers or otherwise. Crediting interest rates as of December 31, 2024 and 2023 ranged from 3.06% to 4.48% and 2.50% to 5.28% per annum, respectively. Interest rates are set at the time the contract is negotiated and, depending on the terms of the contract, are fixed through the maturity date or are reset monthly or quarterly. The average yield on the contracts was 2.81% and 2.13% per annum for 2024 and 2023, respectively.</w:t>
      </w:r>
    </w:p>
    <w:p>
      <w:pPr>
        <w:spacing w:after="0" w:line="195" w:lineRule="exact"/>
        <w:rPr>
          <w:rFonts w:ascii="Times New Roman" w:cs="Times New Roman" w:eastAsia="Times New Roman" w:hAnsi="Times New Roman"/>
          <w:sz w:val="18"/>
          <w:szCs w:val="18"/>
          <w:b w:val="1"/>
          <w:bCs w:val="1"/>
          <w:color w:val="auto"/>
        </w:rPr>
      </w:pPr>
    </w:p>
    <w:p>
      <w:pPr>
        <w:ind w:left="332"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Purchases and sales of securities are recorded on a trade-date basis. Interest income is reported on the accrual basis. Dividends are recorded on the ex-dividend date.</w:t>
      </w:r>
    </w:p>
    <w:p>
      <w:pPr>
        <w:spacing w:after="0" w:line="157" w:lineRule="exact"/>
        <w:rPr>
          <w:rFonts w:ascii="Times New Roman" w:cs="Times New Roman" w:eastAsia="Times New Roman" w:hAnsi="Times New Roman"/>
          <w:sz w:val="18"/>
          <w:szCs w:val="18"/>
          <w:b w:val="1"/>
          <w:bCs w:val="1"/>
          <w:color w:val="auto"/>
        </w:rPr>
      </w:pPr>
    </w:p>
    <w:p>
      <w:pPr>
        <w:ind w:left="332"/>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Notes Receivable from Participants — </w:t>
      </w:r>
      <w:r>
        <w:rPr>
          <w:rFonts w:ascii="Times New Roman" w:cs="Times New Roman" w:eastAsia="Times New Roman" w:hAnsi="Times New Roman"/>
          <w:sz w:val="17"/>
          <w:szCs w:val="17"/>
          <w:color w:val="auto"/>
        </w:rPr>
        <w:t>Participant loans are classified as notes receivable from participants on the Statements of Net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for Benefits and are valued at their unpaid principal balance, plus accrued but unpaid interest. Interest income on notes receivable from participants is recorded when earned. Related fees are recorded as administrative expenses and are recorded when they are incurred. No allowance for credit losses has been recorded as of December 31, 2024 and 2023. Notes Receivable outstanding at December 31, 2024 and 2023 bear interest ranging from 4.25% to 10.50% per annum in 2024 and 2023. As of December 31, 2024, note maturity dates ranged from January 2025 to September 2039.</w:t>
      </w:r>
    </w:p>
    <w:p>
      <w:pPr>
        <w:spacing w:after="0" w:line="163"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12"/>
          </w:cols>
          <w:pgMar w:left="328" w:top="1147" w:right="359" w:bottom="1440" w:gutter="0" w:footer="0" w:header="0"/>
        </w:sectPr>
      </w:pPr>
    </w:p>
    <w:bookmarkStart w:id="7" w:name="page8"/>
    <w:bookmarkEnd w:id="7"/>
    <w:p>
      <w:pPr>
        <w:ind w:left="332" w:right="160"/>
        <w:spacing w:after="0" w:line="261" w:lineRule="auto"/>
        <w:rPr>
          <w:sz w:val="20"/>
          <w:szCs w:val="20"/>
          <w:color w:val="auto"/>
        </w:rPr>
      </w:pPr>
      <w:r>
        <w:rPr>
          <w:rFonts w:ascii="Times New Roman" w:cs="Times New Roman" w:eastAsia="Times New Roman" w:hAnsi="Times New Roman"/>
          <w:sz w:val="18"/>
          <w:szCs w:val="18"/>
          <w:color w:val="auto"/>
        </w:rPr>
        <w:t>The Plan participates in the Unisys Corporation Savings Plan Master Trust (the Master Trust) with a similar plan sponsored by the Company. As of December 31, 2024 and 2023, the investments of the participating plans were held in trust with Fidelity Management Trust Company (the Trustee). Each participating plan's investment in the Master Trust is equal to the sum of its participant account balances in relation to total Master Trust investments.</w:t>
      </w:r>
    </w:p>
    <w:p>
      <w:pPr>
        <w:spacing w:after="0" w:line="180" w:lineRule="exact"/>
        <w:rPr>
          <w:sz w:val="20"/>
          <w:szCs w:val="20"/>
          <w:color w:val="auto"/>
        </w:rPr>
      </w:pPr>
    </w:p>
    <w:p>
      <w:pPr>
        <w:ind w:left="332" w:right="160"/>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Plan's specific interest in the net assets of the Master Trust was based on the Plan's specific investments in the Master Trust, which is not materially different than the Master Trust. The remaining amounts in the Master Trust at December 31, 2024 and 2023, related to the Unisys Puerto Rico Savings Plan, were approximately $3.0 thousand and $3.0 thousand, respectively.</w:t>
      </w:r>
    </w:p>
    <w:p>
      <w:pPr>
        <w:spacing w:after="0" w:line="1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 of December 31, the net assets of the Master Trust and the Plan's interest in the Master Trust were as follows (in thousands):</w:t>
      </w:r>
    </w:p>
    <w:p>
      <w:pPr>
        <w:spacing w:after="0" w:line="46"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Master Trust</w:t>
            </w:r>
          </w:p>
        </w:tc>
        <w:tc>
          <w:tcPr>
            <w:tcW w:w="140" w:type="dxa"/>
            <w:vAlign w:val="bottom"/>
          </w:tcPr>
          <w:p>
            <w:pPr>
              <w:spacing w:after="0"/>
              <w:rPr>
                <w:sz w:val="11"/>
                <w:szCs w:val="11"/>
                <w:color w:val="auto"/>
              </w:rPr>
            </w:pPr>
          </w:p>
        </w:tc>
        <w:tc>
          <w:tcPr>
            <w:tcW w:w="1100" w:type="dxa"/>
            <w:vAlign w:val="bottom"/>
          </w:tcPr>
          <w:p>
            <w:pPr>
              <w:jc w:val="center"/>
              <w:ind w:right="55"/>
              <w:spacing w:after="0" w:line="133" w:lineRule="exact"/>
              <w:rPr>
                <w:sz w:val="20"/>
                <w:szCs w:val="20"/>
                <w:color w:val="auto"/>
              </w:rPr>
            </w:pPr>
            <w:r>
              <w:rPr>
                <w:rFonts w:ascii="Times New Roman" w:cs="Times New Roman" w:eastAsia="Times New Roman" w:hAnsi="Times New Roman"/>
                <w:sz w:val="14"/>
                <w:szCs w:val="14"/>
                <w:color w:val="auto"/>
              </w:rPr>
              <w:t>Plan's Interest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Master Trust</w:t>
            </w:r>
          </w:p>
        </w:tc>
        <w:tc>
          <w:tcPr>
            <w:tcW w:w="140" w:type="dxa"/>
            <w:vAlign w:val="bottom"/>
          </w:tcPr>
          <w:p>
            <w:pPr>
              <w:spacing w:after="0"/>
              <w:rPr>
                <w:sz w:val="11"/>
                <w:szCs w:val="11"/>
                <w:color w:val="auto"/>
              </w:rPr>
            </w:pPr>
          </w:p>
        </w:tc>
        <w:tc>
          <w:tcPr>
            <w:tcW w:w="1080" w:type="dxa"/>
            <w:vAlign w:val="bottom"/>
          </w:tcPr>
          <w:p>
            <w:pPr>
              <w:jc w:val="center"/>
              <w:ind w:right="35"/>
              <w:spacing w:after="0" w:line="133" w:lineRule="exact"/>
              <w:rPr>
                <w:sz w:val="20"/>
                <w:szCs w:val="20"/>
                <w:color w:val="auto"/>
              </w:rPr>
            </w:pPr>
            <w:r>
              <w:rPr>
                <w:rFonts w:ascii="Times New Roman" w:cs="Times New Roman" w:eastAsia="Times New Roman" w:hAnsi="Times New Roman"/>
                <w:sz w:val="14"/>
                <w:szCs w:val="14"/>
                <w:color w:val="auto"/>
              </w:rPr>
              <w:t>Plan's Interest in</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Master Trust</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Master Trust</w:t>
            </w:r>
          </w:p>
        </w:tc>
        <w:tc>
          <w:tcPr>
            <w:tcW w:w="0" w:type="dxa"/>
            <w:vAlign w:val="bottom"/>
          </w:tcPr>
          <w:p>
            <w:pPr>
              <w:spacing w:after="0"/>
              <w:rPr>
                <w:sz w:val="1"/>
                <w:szCs w:val="1"/>
                <w:color w:val="auto"/>
              </w:rPr>
            </w:pPr>
          </w:p>
        </w:tc>
      </w:tr>
      <w:tr>
        <w:trPr>
          <w:trHeight w:val="198"/>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Balances</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Balances</w:t>
            </w:r>
          </w:p>
        </w:tc>
        <w:tc>
          <w:tcPr>
            <w:tcW w:w="14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Balances</w:t>
            </w:r>
          </w:p>
        </w:tc>
        <w:tc>
          <w:tcPr>
            <w:tcW w:w="0" w:type="dxa"/>
            <w:vAlign w:val="bottom"/>
          </w:tcPr>
          <w:p>
            <w:pPr>
              <w:spacing w:after="0"/>
              <w:rPr>
                <w:sz w:val="1"/>
                <w:szCs w:val="1"/>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477,480</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685,698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Unisys Common Stock Funds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1,170,192</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Unisys Interest Income Fund</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91,899</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contract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91,899</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1,262,091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Changes in the net assets of the Master Trust for the years ended December 31, 2024 and 2023, were as follows (in thousands):</w:t>
      </w:r>
    </w:p>
    <w:p>
      <w:pPr>
        <w:spacing w:after="0" w:line="289"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8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appreciation of Mutual Funds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70,783</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of Common Collective Trusts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114,095</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appreciation of Unisys Common Stock Fund</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before transfers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199,517</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 (contributions, loan repayments)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out (benefit payments, administrative fees, participant loans)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(155,118)</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1,182,176</w:t>
            </w: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1,262,094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Accounting rules have established a fair value hierarchy that requires the use of observable inputs when measuring fair value, but allows for unobservable inputs when observable inputs do not exist. The following provides a description of the three levels of inputs used to measure fair value and the types of Plan investments.</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Quoted prices (unadjusted) in active markets for identical assets or liabilities that the Plan can access at the measurement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92"/>
          </w:cols>
          <w:pgMar w:left="328" w:top="1147" w:right="479" w:bottom="1440" w:gutter="0" w:footer="0" w:header="0"/>
        </w:sectPr>
      </w:pPr>
    </w:p>
    <w:bookmarkStart w:id="8" w:name="page9"/>
    <w:bookmarkEnd w:id="8"/>
    <w:p>
      <w:pPr>
        <w:ind w:lef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and Mutual Funds — </w:t>
      </w:r>
      <w:r>
        <w:rPr>
          <w:rFonts w:ascii="Times New Roman" w:cs="Times New Roman" w:eastAsia="Times New Roman" w:hAnsi="Times New Roman"/>
          <w:sz w:val="18"/>
          <w:szCs w:val="18"/>
          <w:color w:val="auto"/>
        </w:rPr>
        <w:t>These investments are valued using quoted prices in an active market. Units of registered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are public investment securities valued using the readily determinable fair value (RDFV) provided by the Trustee. The fair value per share for these funds are published and are the basis for current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within Level 1 that are observable for the asset or liability, either directly or indirectly.</w:t>
      </w:r>
    </w:p>
    <w:p>
      <w:pPr>
        <w:spacing w:after="0" w:line="221" w:lineRule="exact"/>
        <w:rPr>
          <w:sz w:val="20"/>
          <w:szCs w:val="20"/>
          <w:color w:val="auto"/>
        </w:rPr>
      </w:pPr>
    </w:p>
    <w:p>
      <w:pPr>
        <w:ind w:left="640" w:right="5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Common Collective Trusts — </w:t>
      </w:r>
      <w:r>
        <w:rPr>
          <w:rFonts w:ascii="Times New Roman" w:cs="Times New Roman" w:eastAsia="Times New Roman" w:hAnsi="Times New Roman"/>
          <w:sz w:val="17"/>
          <w:szCs w:val="17"/>
          <w:color w:val="auto"/>
        </w:rPr>
        <w:t>These investments are comprised of debt, equity, and other securities and are valued using the RDFV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by trustees of the funds. The fair value per share of these funds are published and are the basis for current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for the asset or liability.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Plan has no Level 3 investments.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 methods described above may produce a fair value calculation that may not be indicative of net realizable value or reflective of future fair values. Furthermore, while the Plan’s valuation methods are appropriate and consistent with other market participants, the use of different methodologies or assumptions to determine the fair value of certain financial instruments could result in a different fair value measurement at the measurement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Master Trust’s assets at fair value at December 31, 2024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3"/>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707,992</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Unisys Common Stock Fund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the Master Trust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707,992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Master Trust’s assets at fair value at December 31, 2023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3"/>
        </w:trPr>
        <w:tc>
          <w:tcPr>
            <w:tcW w:w="4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2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685,700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Unisys Common Stock Fund</w:t>
            </w:r>
          </w:p>
        </w:tc>
        <w:tc>
          <w:tcPr>
            <w:tcW w:w="2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the Master Trust at fair value</w:t>
            </w:r>
          </w:p>
        </w:tc>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685,700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4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660" w:top="1143" w:right="419" w:bottom="1440" w:gutter="0" w:footer="0" w:header="0"/>
        </w:sectPr>
      </w:pPr>
    </w:p>
    <w:bookmarkStart w:id="9" w:name="page10"/>
    <w:bookmarkEnd w:id="9"/>
    <w:p>
      <w:pPr>
        <w:ind w:left="312" w:hanging="312"/>
        <w:spacing w:after="0"/>
        <w:tabs>
          <w:tab w:leader="none" w:pos="3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 OF THE PLAN</w:t>
      </w:r>
    </w:p>
    <w:p>
      <w:pPr>
        <w:spacing w:after="0" w:line="229" w:lineRule="exact"/>
        <w:rPr>
          <w:rFonts w:ascii="Times New Roman" w:cs="Times New Roman" w:eastAsia="Times New Roman" w:hAnsi="Times New Roman"/>
          <w:sz w:val="18"/>
          <w:szCs w:val="18"/>
          <w:b w:val="1"/>
          <w:bCs w:val="1"/>
          <w:color w:val="auto"/>
        </w:rPr>
      </w:pPr>
    </w:p>
    <w:p>
      <w:pPr>
        <w:ind w:left="332"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Internal Revenue Service (IRS) has determined and informed the plan sponsor by letter dated May 14, 2024 that the Plan is qualified and the trust established under the Plan is tax exempt under the appropriate sections of the Code. Although the Plan has been amended since receiving the determination letter, the Plan's administrator and the Plan's tax counsel believe that the Plan is currently designed and being operated in compliance with the applicable requirements of the Code. Therefore, they believe the Plan is qualified and the related trust was tax-exempt as of the financial statements date. U.S. GAAP require the Plan's management to evaluate tax positions taken by the Plan and recognize a tax liability (or asset) if the organization has taken an uncertain position that would not be sustained upon examination by the IRS. The Plan's administrator and its tax counsel have analyzed the tax positions taken by the Plan and have concluded that as of December 31, 2024 and 2023, there are no uncertain tax positions taken or expected to be taken that would require recognition of a liability (or asset) or disclosure to the financial statements. As such, no reserve is required under U.S. GAAP. The Plan is subject to audits by the IRS; however, there are no current IRS audits for any tax periods in progress. The Plan's administrator and its tax counsel believe the Plan is no longer subject to IRS audits outside the statutory audit period.</w:t>
      </w:r>
    </w:p>
    <w:p>
      <w:pPr>
        <w:spacing w:after="0" w:line="190"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left="332"/>
        <w:spacing w:after="0" w:line="256"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conditions,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 Market volatility associated with certain investments held by the Plan could impact the value of investments after the date of these financial statements. Market risks include global events which could impact the value of investment securities, such as a pandemic or an international conflict.</w:t>
      </w:r>
    </w:p>
    <w:p>
      <w:pPr>
        <w:spacing w:after="0" w:line="183" w:lineRule="exact"/>
        <w:rPr>
          <w:sz w:val="20"/>
          <w:szCs w:val="20"/>
          <w:color w:val="auto"/>
        </w:rPr>
      </w:pPr>
    </w:p>
    <w:p>
      <w:pPr>
        <w:ind w:left="312" w:hanging="312"/>
        <w:spacing w:after="0"/>
        <w:tabs>
          <w:tab w:leader="none" w:pos="3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AND PARTY-IN-INTEREST TRANSACTIONS</w:t>
      </w:r>
    </w:p>
    <w:p>
      <w:pPr>
        <w:spacing w:after="0" w:line="229" w:lineRule="exact"/>
        <w:rPr>
          <w:rFonts w:ascii="Times New Roman" w:cs="Times New Roman" w:eastAsia="Times New Roman" w:hAnsi="Times New Roman"/>
          <w:sz w:val="18"/>
          <w:szCs w:val="18"/>
          <w:b w:val="1"/>
          <w:bCs w:val="1"/>
          <w:color w:val="auto"/>
        </w:rPr>
      </w:pPr>
    </w:p>
    <w:p>
      <w:pPr>
        <w:ind w:left="332" w:right="6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are shares of registered investment companies managed by Fidelity Management &amp; Research Company or one of its affiliates. The Master Trust also holds shares of Common Stock of the Company. At December 31, 2024 and 2023, the Master Trust held</w:t>
      </w:r>
    </w:p>
    <w:p>
      <w:pPr>
        <w:ind w:left="332" w:right="1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1,171,811 and 1,226,071 shares of Unisys Common Stock in the Unisys Stock Fund, respectively. These transactions qualify as party-in-interest transactions and are exempt from the prohibited transaction rules. During 2024, there were 283,900 shares purchased for $1.5 million, and 338,160 shares sold for $1.9 million, and during 2023, there were 545,771 shares purchased for $2.5 million, and 383,734 shares sold for $1.8 million. Notes receivable from participants and revenue sharing are also considered party-in-interest transactions.</w:t>
      </w:r>
    </w:p>
    <w:p>
      <w:pPr>
        <w:spacing w:after="0" w:line="18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32"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evaluated subsequent events for the Plan through the date the financial statements were issued. No material events have occurred since December 31, 2024 that required recognition or disclosure in these financial statements.</w:t>
      </w:r>
    </w:p>
    <w:p>
      <w:pPr>
        <w:spacing w:after="0" w:line="200" w:lineRule="exact"/>
        <w:rPr>
          <w:sz w:val="20"/>
          <w:szCs w:val="20"/>
          <w:color w:val="auto"/>
        </w:rPr>
      </w:pPr>
    </w:p>
    <w:p>
      <w:pPr>
        <w:spacing w:after="0" w:line="34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52"/>
          </w:cols>
          <w:pgMar w:left="328" w:top="1143"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b w:val="1"/>
          <w:bCs w:val="1"/>
          <w:color w:val="auto"/>
        </w:rPr>
        <w:t>UNISYS CORPORATION SAVINGS PLAN</w:t>
      </w:r>
    </w:p>
    <w:p>
      <w:pPr>
        <w:sectPr>
          <w:pgSz w:w="11900" w:h="16838" w:orient="portrait"/>
          <w:cols w:equalWidth="0" w:num="1">
            <w:col w:w="9019"/>
          </w:cols>
          <w:pgMar w:left="1440" w:top="891"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891" w:right="144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EIN: 38-0387840 &amp; Plan Number 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 Description of investment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 Identity of issuer, borrower,</w:t>
            </w:r>
          </w:p>
        </w:tc>
        <w:tc>
          <w:tcPr>
            <w:tcW w:w="34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including maturity date,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 Current</w:t>
            </w:r>
          </w:p>
        </w:tc>
        <w:tc>
          <w:tcPr>
            <w:tcW w:w="0" w:type="dxa"/>
            <w:vAlign w:val="bottom"/>
          </w:tcPr>
          <w:p>
            <w:pPr>
              <w:spacing w:after="0"/>
              <w:rPr>
                <w:sz w:val="1"/>
                <w:szCs w:val="1"/>
                <w:color w:val="auto"/>
              </w:rPr>
            </w:pPr>
          </w:p>
        </w:tc>
      </w:tr>
      <w:tr>
        <w:trPr>
          <w:trHeight w:val="184"/>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4780" w:type="dxa"/>
            <w:vAlign w:val="bottom"/>
            <w:gridSpan w:val="2"/>
            <w:vMerge w:val="continue"/>
          </w:tcPr>
          <w:p>
            <w:pPr>
              <w:spacing w:after="0"/>
              <w:rPr>
                <w:sz w:val="16"/>
                <w:szCs w:val="16"/>
                <w:color w:val="auto"/>
              </w:rPr>
            </w:pPr>
          </w:p>
        </w:tc>
        <w:tc>
          <w:tcPr>
            <w:tcW w:w="34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number of shares, rate of interest,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 Cost</w:t>
            </w:r>
          </w:p>
        </w:tc>
        <w:tc>
          <w:tcPr>
            <w:tcW w:w="2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0" w:type="dxa"/>
            <w:vAlign w:val="bottom"/>
            <w:vMerge w:val="continue"/>
          </w:tcPr>
          <w:p>
            <w:pPr>
              <w:spacing w:after="0"/>
              <w:rPr>
                <w:sz w:val="19"/>
                <w:szCs w:val="19"/>
                <w:color w:val="auto"/>
              </w:rPr>
            </w:pPr>
          </w:p>
        </w:tc>
        <w:tc>
          <w:tcPr>
            <w:tcW w:w="4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lessor or similar party</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par or no par, maturity value</w:t>
            </w: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69"/>
        </w:trPr>
        <w:tc>
          <w:tcPr>
            <w:tcW w:w="3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66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Unisys Corporation Savings Plan Master Trust</w:t>
            </w:r>
          </w:p>
        </w:tc>
        <w:tc>
          <w:tcPr>
            <w:tcW w:w="120" w:type="dxa"/>
            <w:vAlign w:val="bottom"/>
          </w:tcPr>
          <w:p>
            <w:pPr>
              <w:spacing w:after="0"/>
              <w:rPr>
                <w:sz w:val="14"/>
                <w:szCs w:val="14"/>
                <w:color w:val="auto"/>
              </w:rPr>
            </w:pPr>
          </w:p>
        </w:tc>
        <w:tc>
          <w:tcPr>
            <w:tcW w:w="33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Investment in Unisys Corporation Savings</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1,295,716,259</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Master Trust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rates from 4.25% to 10.50% per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3,323,610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annum with maturities from 2025 to 2039</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 w:right="7200" w:firstLine="6"/>
        <w:spacing w:after="0" w:line="407" w:lineRule="auto"/>
        <w:tabs>
          <w:tab w:leader="none" w:pos="4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party-in-interest as defined by ERISA ** Cost omitted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8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0020" w:type="dxa"/>
            <w:vAlign w:val="bottom"/>
            <w:gridSpan w:val="2"/>
            <w:vMerge w:val="restart"/>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0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5"/>
                <w:szCs w:val="15"/>
                <w:color w:val="auto"/>
              </w:rPr>
            </w:pPr>
          </w:p>
        </w:tc>
        <w:tc>
          <w:tcPr>
            <w:tcW w:w="100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Consent of Grant Thornton LLP, Independent Registered Public Accounting Firm</w:t>
            </w:r>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tcBorders>
              <w:top w:val="single" w:sz="8" w:color="0000FF"/>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13</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7" w:right="3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UNISYS CORPORATION SAVINGS PLAN</w:t>
            </w:r>
          </w:p>
        </w:tc>
      </w:tr>
      <w:tr>
        <w:trPr>
          <w:trHeight w:val="499"/>
        </w:trPr>
        <w:tc>
          <w:tcPr>
            <w:tcW w:w="3540" w:type="dxa"/>
            <w:vAlign w:val="bottom"/>
          </w:tcPr>
          <w:p>
            <w:pPr>
              <w:spacing w:after="0"/>
              <w:rPr>
                <w:sz w:val="24"/>
                <w:szCs w:val="24"/>
                <w:color w:val="auto"/>
              </w:rPr>
            </w:pPr>
          </w:p>
        </w:tc>
        <w:tc>
          <w:tcPr>
            <w:tcW w:w="76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UNISYS CORPORATION</w:t>
            </w:r>
          </w:p>
        </w:tc>
      </w:tr>
      <w:tr>
        <w:trPr>
          <w:trHeight w:val="49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2025</w:t>
            </w: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Debra McCann</w:t>
            </w:r>
          </w:p>
        </w:tc>
      </w:tr>
      <w:tr>
        <w:trPr>
          <w:trHeight w:val="218"/>
        </w:trPr>
        <w:tc>
          <w:tcPr>
            <w:tcW w:w="3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McCann</w:t>
            </w:r>
          </w:p>
        </w:tc>
      </w:tr>
      <w:tr>
        <w:trPr>
          <w:trHeight w:val="229"/>
        </w:trPr>
        <w:tc>
          <w:tcPr>
            <w:tcW w:w="3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887" w:right="35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We have issued our report dated June 12, 2025, with respect to the financial statements and supplemental information included in the Annual Report of Unisys Corporation Savings Plan on Form 11-K for the year ended December 31, 2024. We consent to the incorporation by reference of said report in the Registration Statement of Unisys Corporation on Forms S-8 (No. 333-271715)</w:t>
      </w:r>
      <w:r>
        <w:rPr>
          <w:rFonts w:ascii="Georgia" w:cs="Georgia" w:eastAsia="Georgia" w:hAnsi="Georgia"/>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2025-06-12T13:10:09Z</dcterms:created>
  <dcterms:modified xsi:type="dcterms:W3CDTF">2025-06-12T13:10:09Z</dcterms:modified>
</cp:coreProperties>
</file>