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260350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18"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6"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2691765</wp:posOffset>
            </wp:positionH>
            <wp:positionV relativeFrom="paragraph">
              <wp:posOffset>94615</wp:posOffset>
            </wp:positionV>
            <wp:extent cx="179451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259"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2691765</wp:posOffset>
            </wp:positionH>
            <wp:positionV relativeFrom="paragraph">
              <wp:posOffset>104775</wp:posOffset>
            </wp:positionV>
            <wp:extent cx="179451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302" w:lineRule="exact"/>
        <w:rPr>
          <w:sz w:val="24"/>
          <w:szCs w:val="24"/>
          <w:color w:val="auto"/>
        </w:rPr>
      </w:pPr>
    </w:p>
    <w:p>
      <w:pPr>
        <w:ind w:left="5088"/>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ind w:left="4848"/>
        <w:spacing w:after="0"/>
        <w:rPr>
          <w:sz w:val="20"/>
          <w:szCs w:val="20"/>
          <w:color w:val="auto"/>
        </w:rPr>
      </w:pPr>
      <w:r>
        <w:rPr>
          <w:rFonts w:ascii="Times New Roman" w:cs="Times New Roman" w:eastAsia="Times New Roman" w:hAnsi="Times New Roman"/>
          <w:sz w:val="12"/>
          <w:szCs w:val="12"/>
          <w:b w:val="1"/>
          <w:bCs w:val="1"/>
          <w:color w:val="auto"/>
        </w:rPr>
        <w:t>Pursuant to Section 13 or 15(d)</w:t>
      </w:r>
    </w:p>
    <w:p>
      <w:pPr>
        <w:spacing w:after="0" w:line="6"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12"/>
          <w:szCs w:val="12"/>
          <w:b w:val="1"/>
          <w:bCs w:val="1"/>
          <w:color w:val="auto"/>
        </w:rPr>
        <w:t>of The Securities Exchange Act of 1934</w:t>
      </w:r>
    </w:p>
    <w:p>
      <w:pPr>
        <w:spacing w:after="0" w:line="135"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 June 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2691765</wp:posOffset>
            </wp:positionH>
            <wp:positionV relativeFrom="paragraph">
              <wp:posOffset>127635</wp:posOffset>
            </wp:positionV>
            <wp:extent cx="179451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201"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29"/>
          <w:szCs w:val="29"/>
          <w:b w:val="1"/>
          <w:bCs w:val="1"/>
          <w:color w:val="auto"/>
        </w:rPr>
        <w:t>UNISYS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2691765</wp:posOffset>
            </wp:positionH>
            <wp:positionV relativeFrom="paragraph">
              <wp:posOffset>43815</wp:posOffset>
            </wp:positionV>
            <wp:extent cx="179451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232"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ectPr>
          <w:pgSz w:w="11900" w:h="16838" w:orient="portrait"/>
          <w:cols w:equalWidth="0" w:num="1">
            <w:col w:w="11308"/>
          </w:cols>
          <w:pgMar w:left="292" w:top="549" w:right="299" w:bottom="1440" w:gutter="0" w:footer="0" w:header="0"/>
        </w:sectPr>
      </w:pPr>
    </w:p>
    <w:p>
      <w:pPr>
        <w:spacing w:after="0" w:line="150" w:lineRule="exact"/>
        <w:rPr>
          <w:sz w:val="24"/>
          <w:szCs w:val="24"/>
          <w:color w:val="auto"/>
        </w:rPr>
      </w:pPr>
    </w:p>
    <w:p>
      <w:pPr>
        <w:ind w:left="1628"/>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21" w:lineRule="exact"/>
        <w:rPr>
          <w:sz w:val="24"/>
          <w:szCs w:val="24"/>
          <w:color w:val="auto"/>
        </w:rPr>
      </w:pPr>
    </w:p>
    <w:p>
      <w:pPr>
        <w:ind w:left="1148"/>
        <w:spacing w:after="0"/>
        <w:rPr>
          <w:sz w:val="20"/>
          <w:szCs w:val="20"/>
          <w:color w:val="auto"/>
        </w:rPr>
      </w:pPr>
      <w:r>
        <w:rPr>
          <w:rFonts w:ascii="Times New Roman" w:cs="Times New Roman" w:eastAsia="Times New Roman" w:hAnsi="Times New Roman"/>
          <w:sz w:val="12"/>
          <w:szCs w:val="12"/>
          <w:color w:val="auto"/>
        </w:rPr>
        <w:t>(State or other jurisdiction of</w:t>
      </w:r>
    </w:p>
    <w:p>
      <w:pPr>
        <w:spacing w:after="0" w:line="6" w:lineRule="exact"/>
        <w:rPr>
          <w:sz w:val="24"/>
          <w:szCs w:val="24"/>
          <w:color w:val="auto"/>
        </w:rPr>
      </w:pPr>
    </w:p>
    <w:p>
      <w:pPr>
        <w:ind w:left="1528"/>
        <w:spacing w:after="0"/>
        <w:rPr>
          <w:sz w:val="20"/>
          <w:szCs w:val="20"/>
          <w:color w:val="auto"/>
        </w:rPr>
      </w:pPr>
      <w:r>
        <w:rPr>
          <w:rFonts w:ascii="Times New Roman" w:cs="Times New Roman" w:eastAsia="Times New Roman" w:hAnsi="Times New Roman"/>
          <w:sz w:val="12"/>
          <w:szCs w:val="12"/>
          <w:color w:val="auto"/>
        </w:rPr>
        <w:t>incorporation)</w:t>
      </w:r>
    </w:p>
    <w:p>
      <w:pPr>
        <w:spacing w:after="0" w:line="20" w:lineRule="exact"/>
        <w:rPr>
          <w:sz w:val="24"/>
          <w:szCs w:val="24"/>
          <w:color w:val="auto"/>
        </w:rPr>
      </w:pPr>
      <w:r>
        <w:rPr>
          <w:sz w:val="24"/>
          <w:szCs w:val="24"/>
          <w:color w:val="auto"/>
        </w:rPr>
        <w:br w:type="column"/>
      </w:r>
    </w:p>
    <w:p>
      <w:pPr>
        <w:spacing w:after="0" w:line="130"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2"/>
          <w:szCs w:val="12"/>
          <w:b w:val="1"/>
          <w:bCs w:val="1"/>
          <w:color w:val="auto"/>
        </w:rPr>
        <w:t>1-8729</w:t>
      </w:r>
    </w:p>
    <w:p>
      <w:pPr>
        <w:spacing w:after="0" w:line="2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2"/>
          <w:szCs w:val="12"/>
          <w:color w:val="auto"/>
        </w:rPr>
        <w:t>(Commission File Number)</w:t>
      </w:r>
    </w:p>
    <w:p>
      <w:pPr>
        <w:spacing w:after="0" w:line="20" w:lineRule="exact"/>
        <w:rPr>
          <w:sz w:val="24"/>
          <w:szCs w:val="24"/>
          <w:color w:val="auto"/>
        </w:rPr>
      </w:pPr>
      <w:r>
        <w:rPr>
          <w:sz w:val="24"/>
          <w:szCs w:val="24"/>
          <w:color w:val="auto"/>
        </w:rPr>
        <w:br w:type="column"/>
      </w:r>
    </w:p>
    <w:p>
      <w:pPr>
        <w:spacing w:after="0" w:line="130"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2"/>
          <w:szCs w:val="12"/>
          <w:b w:val="1"/>
          <w:bCs w:val="1"/>
          <w:color w:val="auto"/>
        </w:rPr>
        <w:t>38-0387840</w:t>
      </w:r>
    </w:p>
    <w:p>
      <w:pPr>
        <w:spacing w:after="0" w:line="2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2"/>
          <w:szCs w:val="12"/>
          <w:color w:val="auto"/>
        </w:rPr>
        <w:t>(I.R.S. Employer</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Identification No.)</w:t>
      </w:r>
    </w:p>
    <w:p>
      <w:pPr>
        <w:spacing w:after="0" w:line="153" w:lineRule="exact"/>
        <w:rPr>
          <w:sz w:val="24"/>
          <w:szCs w:val="24"/>
          <w:color w:val="auto"/>
        </w:rPr>
      </w:pPr>
    </w:p>
    <w:p>
      <w:pPr>
        <w:sectPr>
          <w:pgSz w:w="11900" w:h="16838" w:orient="portrait"/>
          <w:cols w:equalWidth="0" w:num="3">
            <w:col w:w="4268" w:space="720"/>
            <w:col w:w="3280" w:space="720"/>
            <w:col w:w="2320"/>
          </w:cols>
          <w:pgMar w:left="292" w:top="549" w:right="299" w:bottom="1440" w:gutter="0" w:footer="0" w:header="0"/>
          <w:type w:val="continuous"/>
        </w:sectPr>
      </w:pPr>
    </w:p>
    <w:p>
      <w:pPr>
        <w:jc w:val="center"/>
        <w:ind w:right="12"/>
        <w:spacing w:after="0"/>
        <w:rPr>
          <w:sz w:val="20"/>
          <w:szCs w:val="20"/>
          <w:color w:val="auto"/>
        </w:rPr>
      </w:pPr>
      <w:r>
        <w:rPr>
          <w:rFonts w:ascii="Times New Roman" w:cs="Times New Roman" w:eastAsia="Times New Roman" w:hAnsi="Times New Roman"/>
          <w:sz w:val="12"/>
          <w:szCs w:val="12"/>
          <w:b w:val="1"/>
          <w:bCs w:val="1"/>
          <w:color w:val="auto"/>
        </w:rPr>
        <w:t>801 Lakeview Drive, Suite 100</w:t>
      </w:r>
    </w:p>
    <w:p>
      <w:pPr>
        <w:spacing w:after="0" w:line="21"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12"/>
          <w:szCs w:val="12"/>
          <w:b w:val="1"/>
          <w:bCs w:val="1"/>
          <w:color w:val="auto"/>
        </w:rPr>
        <w:t>Blue Bell, Pennsylvania 19422</w:t>
      </w:r>
    </w:p>
    <w:p>
      <w:pPr>
        <w:spacing w:after="0" w:line="6"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12"/>
          <w:szCs w:val="12"/>
          <w:color w:val="auto"/>
        </w:rPr>
        <w:t>(Address of principal executive offices) (Zip Code)</w:t>
      </w:r>
    </w:p>
    <w:p>
      <w:pPr>
        <w:spacing w:after="0" w:line="135"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12"/>
          <w:szCs w:val="12"/>
          <w:b w:val="1"/>
          <w:bCs w:val="1"/>
          <w:color w:val="auto"/>
        </w:rPr>
        <w:t>(215) 986-4011</w:t>
      </w:r>
    </w:p>
    <w:p>
      <w:pPr>
        <w:spacing w:after="0" w:line="21"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12"/>
          <w:szCs w:val="12"/>
          <w:color w:val="auto"/>
        </w:rPr>
        <w:t>(Registrant’s telephone number, including area code)</w:t>
      </w:r>
    </w:p>
    <w:p>
      <w:pPr>
        <w:spacing w:after="0" w:line="135"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12"/>
          <w:szCs w:val="12"/>
          <w:b w:val="1"/>
          <w:bCs w:val="1"/>
          <w:color w:val="auto"/>
        </w:rPr>
        <w:t>N/A</w:t>
      </w:r>
    </w:p>
    <w:p>
      <w:pPr>
        <w:spacing w:after="0" w:line="21"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2691765</wp:posOffset>
            </wp:positionH>
            <wp:positionV relativeFrom="paragraph">
              <wp:posOffset>95250</wp:posOffset>
            </wp:positionV>
            <wp:extent cx="179451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ectPr>
          <w:pgSz w:w="11900" w:h="16838" w:orient="portrait"/>
          <w:cols w:equalWidth="0" w:num="1">
            <w:col w:w="11308"/>
          </w:cols>
          <w:pgMar w:left="292" w:top="549" w:right="299" w:bottom="1440" w:gutter="0" w:footer="0" w:header="0"/>
          <w:type w:val="continuous"/>
        </w:sectPr>
      </w:pPr>
    </w:p>
    <w:p>
      <w:pPr>
        <w:spacing w:after="0" w:line="310"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50" w:lineRule="exact"/>
        <w:rPr>
          <w:sz w:val="24"/>
          <w:szCs w:val="24"/>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68" w:lineRule="exact"/>
        <w:rPr>
          <w:rFonts w:ascii="MS PGothic" w:cs="MS PGothic" w:eastAsia="MS PGothic" w:hAnsi="MS PGothic"/>
          <w:sz w:val="12"/>
          <w:szCs w:val="12"/>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68" w:lineRule="exact"/>
        <w:rPr>
          <w:rFonts w:ascii="MS PGothic" w:cs="MS PGothic" w:eastAsia="MS PGothic" w:hAnsi="MS PGothic"/>
          <w:sz w:val="12"/>
          <w:szCs w:val="12"/>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68" w:lineRule="exact"/>
        <w:rPr>
          <w:rFonts w:ascii="MS PGothic" w:cs="MS PGothic" w:eastAsia="MS PGothic" w:hAnsi="MS PGothic"/>
          <w:sz w:val="12"/>
          <w:szCs w:val="12"/>
          <w:color w:val="auto"/>
        </w:rPr>
      </w:pPr>
    </w:p>
    <w:p>
      <w:pPr>
        <w:ind w:left="8" w:right="5740" w:hanging="8"/>
        <w:spacing w:after="0" w:line="513" w:lineRule="auto"/>
        <w:tabs>
          <w:tab w:leader="none" w:pos="224"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 Securities registered pursuant to Section 12(b) of the Act:</w:t>
      </w:r>
    </w:p>
    <w:tbl>
      <w:tblPr>
        <w:tblLayout w:type="fixed"/>
        <w:tblInd w:w="8" w:type="dxa"/>
        <w:tblCellMar>
          <w:top w:w="0" w:type="dxa"/>
          <w:left w:w="0" w:type="dxa"/>
          <w:bottom w:w="0" w:type="dxa"/>
          <w:right w:w="0" w:type="dxa"/>
        </w:tblCellMar>
      </w:tblPr>
      <w:tr>
        <w:trPr>
          <w:trHeight w:val="144"/>
        </w:trPr>
        <w:tc>
          <w:tcPr>
            <w:tcW w:w="4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Trading</w:t>
            </w:r>
          </w:p>
        </w:tc>
        <w:tc>
          <w:tcPr>
            <w:tcW w:w="4520" w:type="dxa"/>
            <w:vAlign w:val="bottom"/>
          </w:tcPr>
          <w:p>
            <w:pPr>
              <w:spacing w:after="0"/>
              <w:rPr>
                <w:sz w:val="12"/>
                <w:szCs w:val="12"/>
                <w:color w:val="auto"/>
              </w:rPr>
            </w:pPr>
          </w:p>
        </w:tc>
      </w:tr>
      <w:tr>
        <w:trPr>
          <w:trHeight w:val="159"/>
        </w:trPr>
        <w:tc>
          <w:tcPr>
            <w:tcW w:w="4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240" w:type="dxa"/>
            <w:vAlign w:val="bottom"/>
          </w:tcPr>
          <w:p>
            <w:pPr>
              <w:spacing w:after="0"/>
              <w:rPr>
                <w:sz w:val="13"/>
                <w:szCs w:val="13"/>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Symbol(s)</w:t>
            </w:r>
          </w:p>
        </w:tc>
        <w:tc>
          <w:tcPr>
            <w:tcW w:w="220" w:type="dxa"/>
            <w:vAlign w:val="bottom"/>
          </w:tcPr>
          <w:p>
            <w:pPr>
              <w:spacing w:after="0"/>
              <w:rPr>
                <w:sz w:val="13"/>
                <w:szCs w:val="13"/>
                <w:color w:val="auto"/>
              </w:rPr>
            </w:pPr>
          </w:p>
        </w:tc>
        <w:tc>
          <w:tcPr>
            <w:tcW w:w="4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Name of each exchange on which registered</w:t>
            </w:r>
          </w:p>
        </w:tc>
      </w:tr>
      <w:tr>
        <w:trPr>
          <w:trHeight w:val="151"/>
        </w:trPr>
        <w:tc>
          <w:tcPr>
            <w:tcW w:w="476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Common Stock, par value $.01</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UIS</w:t>
            </w:r>
          </w:p>
        </w:tc>
        <w:tc>
          <w:tcPr>
            <w:tcW w:w="45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New York Stock Exchange</w:t>
            </w:r>
          </w:p>
        </w:tc>
      </w:tr>
    </w:tbl>
    <w:p>
      <w:pPr>
        <w:spacing w:after="0" w:line="142" w:lineRule="exact"/>
        <w:rPr>
          <w:sz w:val="24"/>
          <w:szCs w:val="24"/>
          <w:color w:val="auto"/>
        </w:rPr>
      </w:pPr>
    </w:p>
    <w:p>
      <w:pPr>
        <w:ind w:left="8" w:right="18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3" w:lineRule="exact"/>
        <w:rPr>
          <w:sz w:val="24"/>
          <w:szCs w:val="24"/>
          <w:color w:val="auto"/>
        </w:rPr>
      </w:pPr>
    </w:p>
    <w:p>
      <w:pPr>
        <w:ind w:left="8"/>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78" w:lineRule="exact"/>
        <w:rPr>
          <w:sz w:val="24"/>
          <w:szCs w:val="24"/>
          <w:color w:val="auto"/>
        </w:rPr>
      </w:pPr>
    </w:p>
    <w:p>
      <w:pPr>
        <w:ind w:left="8" w:right="10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97790</wp:posOffset>
            </wp:positionV>
            <wp:extent cx="7178040" cy="11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394970</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49" w:right="2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154" w:lineRule="exact"/>
        <w:rPr>
          <w:sz w:val="20"/>
          <w:szCs w:val="20"/>
          <w:color w:val="auto"/>
        </w:rPr>
      </w:pPr>
    </w:p>
    <w:p>
      <w:pPr>
        <w:ind w:right="20"/>
        <w:spacing w:after="0" w:line="291" w:lineRule="auto"/>
        <w:rPr>
          <w:sz w:val="20"/>
          <w:szCs w:val="20"/>
          <w:color w:val="auto"/>
        </w:rPr>
      </w:pPr>
      <w:r>
        <w:rPr>
          <w:rFonts w:ascii="Times New Roman" w:cs="Times New Roman" w:eastAsia="Times New Roman" w:hAnsi="Times New Roman"/>
          <w:sz w:val="11"/>
          <w:szCs w:val="11"/>
          <w:color w:val="auto"/>
        </w:rPr>
        <w:t>Unisys Corporation (the "Company") will host a virtual Investor Day for institutional investors and financial analysts on Tuesday, June 2, 2026 at 1:00 p.m. EDT. The presentation to be used during the Company’s Investor Day is furnished herewith as Exhibit 99.1, and is incorporated by reference into Item 7.01 of this Current Report on Form 8-K. The presentation includes the Company’s upwardly revised revenue guidance for full-year 2026, as well as certain of the Company’s medium-term financial targets. The live webcast and presentation materials will be available on the Company's Investor Relations website at www.unisys.com/investor-relations. To access the live webcast, participants should register online at 2026 Unisys Investor Day on the Company's Investor Relations website. The presentation and the webcast replay will also be available on the Company's Investor Relations website following the event.</w:t>
      </w:r>
    </w:p>
    <w:p>
      <w:pPr>
        <w:spacing w:after="0" w:line="107"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2"/>
          <w:szCs w:val="12"/>
          <w:color w:val="auto"/>
        </w:rPr>
        <w:t>The information in Item 7.01 of this Current Report, including Exhibit 99.1 attached hereto, shall not be deemed "filed" for purposes of Section 18 of the Securities Exchange Act of 1934, as amended (the "Exchange Act"), or otherwise subject to the liabilities of that section, nor shall it be deemed incorporated by reference into any filing under the Securities Act of 1933, as amended, or the Exchange Act, except as shall be expressly set forth by specific reference in such filing.</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d) The following exhibit is being furnished herewith:</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36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99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106"/>
        </w:trPr>
        <w:tc>
          <w:tcPr>
            <w:tcW w:w="1240" w:type="dxa"/>
            <w:vAlign w:val="bottom"/>
            <w:tcBorders>
              <w:top w:val="single" w:sz="8" w:color="auto"/>
            </w:tcBorders>
            <w:gridSpan w:val="2"/>
          </w:tcPr>
          <w:p>
            <w:pPr>
              <w:spacing w:after="0" w:line="106" w:lineRule="exact"/>
              <w:rPr>
                <w:sz w:val="20"/>
                <w:szCs w:val="20"/>
                <w:color w:val="auto"/>
              </w:rPr>
            </w:pPr>
            <w:r>
              <w:rPr>
                <w:rFonts w:ascii="Times New Roman" w:cs="Times New Roman" w:eastAsia="Times New Roman" w:hAnsi="Times New Roman"/>
                <w:sz w:val="12"/>
                <w:szCs w:val="12"/>
                <w:color w:val="0000EE"/>
              </w:rPr>
              <w:t>99.</w:t>
            </w:r>
            <w:r>
              <w:rPr>
                <w:rFonts w:ascii="Times New Roman" w:cs="Times New Roman" w:eastAsia="Times New Roman" w:hAnsi="Times New Roman"/>
                <w:sz w:val="12"/>
                <w:szCs w:val="12"/>
                <w:u w:val="single" w:color="auto"/>
                <w:color w:val="0000EE"/>
              </w:rPr>
              <w:t>1</w:t>
            </w:r>
          </w:p>
        </w:tc>
        <w:tc>
          <w:tcPr>
            <w:tcW w:w="120" w:type="dxa"/>
            <w:vAlign w:val="bottom"/>
          </w:tcPr>
          <w:p>
            <w:pPr>
              <w:spacing w:after="0"/>
              <w:rPr>
                <w:sz w:val="9"/>
                <w:szCs w:val="9"/>
                <w:color w:val="auto"/>
              </w:rPr>
            </w:pPr>
          </w:p>
        </w:tc>
        <w:tc>
          <w:tcPr>
            <w:tcW w:w="9940" w:type="dxa"/>
            <w:vAlign w:val="bottom"/>
            <w:tcBorders>
              <w:top w:val="single" w:sz="8" w:color="auto"/>
            </w:tcBorders>
            <w:gridSpan w:val="2"/>
          </w:tcPr>
          <w:p>
            <w:pPr>
              <w:spacing w:after="0" w:line="106" w:lineRule="exact"/>
              <w:rPr>
                <w:sz w:val="20"/>
                <w:szCs w:val="20"/>
                <w:color w:val="auto"/>
              </w:rPr>
            </w:pPr>
            <w:r>
              <w:rPr>
                <w:rFonts w:ascii="Times New Roman" w:cs="Times New Roman" w:eastAsia="Times New Roman" w:hAnsi="Times New Roman"/>
                <w:sz w:val="12"/>
                <w:szCs w:val="12"/>
                <w:color w:val="0000EE"/>
              </w:rPr>
              <w:t>Presentation, dated June 2, 2026, of Unisys Corporation (Furnished, Not Filed)</w:t>
            </w:r>
          </w:p>
        </w:tc>
      </w:tr>
      <w:tr>
        <w:trPr>
          <w:trHeight w:val="20"/>
        </w:trPr>
        <w:tc>
          <w:tcPr>
            <w:tcW w:w="20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80" w:type="dxa"/>
            <w:vAlign w:val="bottom"/>
            <w:shd w:val="clear" w:color="auto" w:fill="0000EE"/>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r>
      <w:tr>
        <w:trPr>
          <w:trHeight w:val="151"/>
        </w:trPr>
        <w:tc>
          <w:tcPr>
            <w:tcW w:w="200" w:type="dxa"/>
            <w:vAlign w:val="bottom"/>
          </w:tcPr>
          <w:p>
            <w:pPr>
              <w:spacing w:after="0"/>
              <w:rPr>
                <w:sz w:val="20"/>
                <w:szCs w:val="20"/>
                <w:color w:val="auto"/>
              </w:rPr>
            </w:pPr>
            <w:r>
              <w:rPr>
                <w:rFonts w:ascii="Times New Roman" w:cs="Times New Roman" w:eastAsia="Times New Roman" w:hAnsi="Times New Roman"/>
                <w:sz w:val="12"/>
                <w:szCs w:val="12"/>
                <w:color w:val="auto"/>
                <w:w w:val="99"/>
              </w:rPr>
              <w:t>104</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Extensible Business Reporting Language document)</w:t>
            </w:r>
          </w:p>
        </w:tc>
      </w:tr>
      <w:tr>
        <w:trPr>
          <w:trHeight w:val="432"/>
        </w:trPr>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SIGNATURE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280" w:type="dxa"/>
            <w:vAlign w:val="bottom"/>
          </w:tcPr>
          <w:p>
            <w:pPr>
              <w:spacing w:after="0"/>
              <w:rPr>
                <w:sz w:val="13"/>
                <w:szCs w:val="13"/>
                <w:color w:val="auto"/>
              </w:rPr>
            </w:pPr>
          </w:p>
        </w:tc>
        <w:tc>
          <w:tcPr>
            <w:tcW w:w="8020" w:type="dxa"/>
            <w:vAlign w:val="bottom"/>
            <w:gridSpan w:val="2"/>
          </w:tcPr>
          <w:p>
            <w:pPr>
              <w:ind w:left="2380"/>
              <w:spacing w:after="0"/>
              <w:rPr>
                <w:sz w:val="20"/>
                <w:szCs w:val="20"/>
                <w:color w:val="auto"/>
              </w:rPr>
            </w:pPr>
            <w:r>
              <w:rPr>
                <w:rFonts w:ascii="Times New Roman" w:cs="Times New Roman" w:eastAsia="Times New Roman" w:hAnsi="Times New Roman"/>
                <w:sz w:val="12"/>
                <w:szCs w:val="12"/>
                <w:color w:val="auto"/>
              </w:rPr>
              <w:t>Unisys Corporation</w:t>
            </w:r>
          </w:p>
        </w:tc>
      </w:tr>
      <w:tr>
        <w:trPr>
          <w:trHeight w:val="288"/>
        </w:trPr>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Date: June 2, 2026</w:t>
            </w:r>
          </w:p>
        </w:tc>
        <w:tc>
          <w:tcPr>
            <w:tcW w:w="2940" w:type="dxa"/>
            <w:vAlign w:val="bottom"/>
          </w:tcPr>
          <w:p>
            <w:pPr>
              <w:ind w:left="2380"/>
              <w:spacing w:after="0"/>
              <w:rPr>
                <w:sz w:val="20"/>
                <w:szCs w:val="20"/>
                <w:color w:val="auto"/>
              </w:rPr>
            </w:pPr>
            <w:r>
              <w:rPr>
                <w:rFonts w:ascii="Times New Roman" w:cs="Times New Roman" w:eastAsia="Times New Roman" w:hAnsi="Times New Roman"/>
                <w:sz w:val="12"/>
                <w:szCs w:val="12"/>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Debra McCann</w:t>
            </w:r>
          </w:p>
        </w:tc>
      </w:tr>
      <w:tr>
        <w:trPr>
          <w:trHeight w:val="122"/>
        </w:trPr>
        <w:tc>
          <w:tcPr>
            <w:tcW w:w="328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508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Debra McCann</w:t>
            </w:r>
          </w:p>
        </w:tc>
      </w:tr>
      <w:tr>
        <w:trPr>
          <w:trHeight w:val="155"/>
        </w:trPr>
        <w:tc>
          <w:tcPr>
            <w:tcW w:w="328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2"/>
                <w:szCs w:val="12"/>
                <w:color w:val="auto"/>
              </w:rPr>
              <w:t>Executive Vice President and Chief Financial Officer</w:t>
            </w:r>
          </w:p>
        </w:tc>
      </w:tr>
      <w:tr>
        <w:trPr>
          <w:trHeight w:val="432"/>
        </w:trPr>
        <w:tc>
          <w:tcPr>
            <w:tcW w:w="32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3" w:name="page4"/>
    <w:bookmarkEnd w:id="3"/>
    <w:p>
      <w:pPr>
        <w:ind w:left="9540"/>
        <w:spacing w:after="0"/>
        <w:rPr>
          <w:sz w:val="20"/>
          <w:szCs w:val="20"/>
          <w:color w:val="auto"/>
        </w:rPr>
      </w:pPr>
      <w:r>
        <w:rPr>
          <w:rFonts w:ascii="Times New Roman" w:cs="Times New Roman" w:eastAsia="Times New Roman" w:hAnsi="Times New Roman"/>
          <w:sz w:val="11"/>
          <w:szCs w:val="1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37465</wp:posOffset>
            </wp:positionV>
            <wp:extent cx="7087235" cy="45205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7235" cy="4520565"/>
                    </a:xfrm>
                    <a:prstGeom prst="rect">
                      <a:avLst/>
                    </a:prstGeom>
                    <a:noFill/>
                  </pic:spPr>
                </pic:pic>
              </a:graphicData>
            </a:graphic>
          </wp:anchor>
        </w:drawing>
      </w:r>
    </w:p>
    <w:p>
      <w:pPr>
        <w:sectPr>
          <w:pgSz w:w="11900" w:h="16838" w:orient="portrait"/>
          <w:cols w:equalWidth="0" w:num="1">
            <w:col w:w="10160"/>
          </w:cols>
          <w:pgMar w:left="1440" w:top="125" w:right="29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2026-06-02T07:07:45Z</dcterms:created>
  <dcterms:modified xsi:type="dcterms:W3CDTF">2026-06-02T07:07:45Z</dcterms:modified>
</cp:coreProperties>
</file>